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/>
          <w:color w:val="000000"/>
          <w:szCs w:val="32"/>
        </w:rPr>
      </w:pPr>
      <w:r>
        <w:rPr>
          <w:rFonts w:hint="eastAsia" w:ascii="黑体" w:hAnsi="黑体" w:eastAsia="黑体"/>
          <w:color w:val="000000"/>
          <w:szCs w:val="32"/>
        </w:rPr>
        <w:t>附件2</w:t>
      </w:r>
    </w:p>
    <w:p>
      <w:pPr>
        <w:spacing w:line="560" w:lineRule="exact"/>
        <w:jc w:val="center"/>
        <w:rPr>
          <w:rFonts w:hint="eastAsia" w:ascii="方正小标宋简体" w:hAnsi="Times New Roman" w:eastAsia="方正小标宋简体"/>
          <w:color w:val="000000"/>
          <w:sz w:val="44"/>
        </w:rPr>
      </w:pPr>
      <w:r>
        <w:rPr>
          <w:rFonts w:hint="eastAsia" w:ascii="方正小标宋简体" w:hAnsi="Times New Roman" w:eastAsia="方正小标宋简体"/>
          <w:color w:val="000000"/>
          <w:sz w:val="44"/>
        </w:rPr>
        <w:t>项目验收评分表</w:t>
      </w:r>
    </w:p>
    <w:p>
      <w:pPr>
        <w:spacing w:line="520" w:lineRule="exact"/>
        <w:jc w:val="left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活动承办单位（盖章）：</w:t>
      </w:r>
      <w:r>
        <w:rPr>
          <w:rFonts w:ascii="Times New Roman" w:hAnsi="Times New Roman"/>
          <w:sz w:val="28"/>
          <w:szCs w:val="28"/>
          <w:u w:val="single"/>
        </w:rPr>
        <w:t>　　　</w:t>
      </w:r>
      <w:r>
        <w:rPr>
          <w:rFonts w:hint="eastAsia" w:ascii="Times New Roman" w:hAnsi="Times New Roman"/>
          <w:sz w:val="28"/>
          <w:szCs w:val="28"/>
          <w:u w:val="single"/>
        </w:rPr>
        <w:t>　　　</w:t>
      </w:r>
      <w:r>
        <w:rPr>
          <w:rFonts w:ascii="Times New Roman" w:hAnsi="Times New Roman"/>
          <w:sz w:val="28"/>
          <w:szCs w:val="28"/>
          <w:u w:val="single"/>
        </w:rPr>
        <w:t xml:space="preserve">　　　 </w:t>
      </w:r>
      <w:r>
        <w:rPr>
          <w:rFonts w:ascii="Times New Roman" w:hAnsi="Times New Roman"/>
          <w:sz w:val="28"/>
          <w:szCs w:val="28"/>
        </w:rPr>
        <w:t xml:space="preserve">         </w:t>
      </w:r>
      <w:r>
        <w:rPr>
          <w:rFonts w:hint="eastAsia" w:ascii="Times New Roman" w:hAnsi="Times New Roman"/>
          <w:sz w:val="28"/>
          <w:szCs w:val="28"/>
        </w:rPr>
        <w:t>　　</w:t>
      </w:r>
      <w:r>
        <w:rPr>
          <w:rFonts w:ascii="Times New Roman" w:hAnsi="Times New Roman"/>
          <w:sz w:val="28"/>
          <w:szCs w:val="28"/>
        </w:rPr>
        <w:t>活动名称：</w:t>
      </w:r>
      <w:r>
        <w:rPr>
          <w:rFonts w:ascii="Times New Roman" w:hAnsi="Times New Roman"/>
          <w:sz w:val="28"/>
          <w:szCs w:val="28"/>
          <w:u w:val="single"/>
        </w:rPr>
        <w:t xml:space="preserve">  </w:t>
      </w:r>
      <w:r>
        <w:rPr>
          <w:rFonts w:hint="eastAsia" w:ascii="Times New Roman" w:hAnsi="Times New Roman"/>
          <w:sz w:val="28"/>
          <w:szCs w:val="28"/>
          <w:u w:val="single"/>
        </w:rPr>
        <w:t>　　</w:t>
      </w:r>
      <w:r>
        <w:rPr>
          <w:rFonts w:ascii="Times New Roman" w:hAnsi="Times New Roman"/>
          <w:sz w:val="28"/>
          <w:szCs w:val="28"/>
          <w:u w:val="single"/>
        </w:rPr>
        <w:t xml:space="preserve">       　　   </w:t>
      </w:r>
      <w:r>
        <w:rPr>
          <w:rFonts w:ascii="Times New Roman" w:hAnsi="Times New Roman"/>
          <w:sz w:val="28"/>
          <w:szCs w:val="28"/>
        </w:rPr>
        <w:t xml:space="preserve">   </w:t>
      </w:r>
    </w:p>
    <w:tbl>
      <w:tblPr>
        <w:tblStyle w:val="2"/>
        <w:tblW w:w="14820" w:type="dxa"/>
        <w:jc w:val="center"/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2595"/>
        <w:gridCol w:w="693"/>
        <w:gridCol w:w="9744"/>
        <w:gridCol w:w="965"/>
        <w:gridCol w:w="823"/>
      </w:tblGrid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82" w:hRule="atLeast"/>
          <w:tblHeader/>
          <w:jc w:val="center"/>
        </w:trPr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黑体"/>
                <w:sz w:val="24"/>
              </w:rPr>
            </w:pPr>
            <w:r>
              <w:rPr>
                <w:rFonts w:ascii="Times New Roman" w:hAnsi="Times New Roman" w:eastAsia="黑体"/>
                <w:sz w:val="24"/>
              </w:rPr>
              <w:t>评定指标</w:t>
            </w:r>
          </w:p>
        </w:tc>
        <w:tc>
          <w:tcPr>
            <w:tcW w:w="104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黑体"/>
                <w:sz w:val="24"/>
              </w:rPr>
            </w:pPr>
            <w:r>
              <w:rPr>
                <w:rFonts w:ascii="Times New Roman" w:hAnsi="Times New Roman" w:eastAsia="黑体"/>
                <w:sz w:val="24"/>
              </w:rPr>
              <w:t>评定标准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黑体"/>
                <w:sz w:val="24"/>
              </w:rPr>
            </w:pPr>
            <w:r>
              <w:rPr>
                <w:rFonts w:ascii="Times New Roman" w:hAnsi="Times New Roman" w:eastAsia="黑体"/>
                <w:sz w:val="24"/>
              </w:rPr>
              <w:t>评定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黑体"/>
                <w:sz w:val="24"/>
              </w:rPr>
            </w:pPr>
            <w:r>
              <w:rPr>
                <w:rFonts w:ascii="Times New Roman" w:hAnsi="Times New Roman" w:eastAsia="黑体"/>
                <w:sz w:val="24"/>
              </w:rPr>
              <w:t>分值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黑体"/>
                <w:sz w:val="24"/>
              </w:rPr>
            </w:pPr>
            <w:r>
              <w:rPr>
                <w:rFonts w:ascii="Times New Roman" w:hAnsi="Times New Roman" w:eastAsia="黑体"/>
                <w:sz w:val="24"/>
              </w:rPr>
              <w:t>自评打分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63" w:hRule="atLeast"/>
          <w:jc w:val="center"/>
        </w:trPr>
        <w:tc>
          <w:tcPr>
            <w:tcW w:w="1303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ascii="Times New Roman" w:hAnsi="Times New Roman" w:eastAsia="黑体"/>
                <w:bCs/>
                <w:sz w:val="24"/>
              </w:rPr>
            </w:pPr>
            <w:r>
              <w:rPr>
                <w:rFonts w:ascii="Times New Roman" w:hAnsi="Times New Roman" w:eastAsia="黑体"/>
                <w:bCs/>
                <w:sz w:val="24"/>
              </w:rPr>
              <w:t>一、</w:t>
            </w:r>
            <w:r>
              <w:rPr>
                <w:rFonts w:hint="eastAsia" w:ascii="Times New Roman" w:hAnsi="Times New Roman" w:eastAsia="黑体"/>
                <w:bCs/>
                <w:sz w:val="24"/>
              </w:rPr>
              <w:t>统一品牌形象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宋体"/>
                <w:b/>
                <w:bCs/>
                <w:sz w:val="24"/>
              </w:rPr>
            </w:pPr>
            <w:r>
              <w:rPr>
                <w:rFonts w:hint="eastAsia" w:ascii="Times New Roman" w:hAnsi="Times New Roman"/>
                <w:b/>
                <w:bCs/>
                <w:sz w:val="24"/>
              </w:rPr>
              <w:t>10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ascii="Times New Roman" w:hAnsi="Times New Roman"/>
                <w:bCs/>
                <w:sz w:val="24"/>
              </w:rPr>
            </w:pP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90" w:hRule="atLeast"/>
          <w:jc w:val="center"/>
        </w:trPr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ascii="Times New Roman" w:hAnsi="Times New Roman" w:eastAsia="宋体"/>
                <w:sz w:val="24"/>
              </w:rPr>
            </w:pPr>
            <w:r>
              <w:rPr>
                <w:rFonts w:hint="eastAsia" w:ascii="Times New Roman" w:hAnsi="Times New Roman" w:eastAsia="宋体"/>
                <w:sz w:val="24"/>
              </w:rPr>
              <w:t>1.统一品牌形象</w:t>
            </w:r>
          </w:p>
        </w:tc>
        <w:tc>
          <w:tcPr>
            <w:tcW w:w="104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spacing w:line="320" w:lineRule="exact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活动按照统一活动名称，统一活动形象、统一活动应用场景 “三统一”布置产销对接活动现场，的得10分，活动的主视觉ＫＶ及延展与区厅提供的主视觉ＫＶ不相符或差异太大的不得分。（证明材料：现场照片等）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</w:rPr>
              <w:t>10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90" w:hRule="atLeast"/>
          <w:jc w:val="center"/>
        </w:trPr>
        <w:tc>
          <w:tcPr>
            <w:tcW w:w="1303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hint="eastAsia" w:ascii="Times New Roman" w:hAnsi="Times New Roman"/>
                <w:sz w:val="24"/>
              </w:rPr>
            </w:pPr>
            <w:r>
              <w:rPr>
                <w:rFonts w:hint="eastAsia" w:ascii="Times New Roman" w:hAnsi="Times New Roman" w:eastAsia="宋体"/>
                <w:sz w:val="24"/>
              </w:rPr>
              <w:t>二、活动规模</w:t>
            </w:r>
            <w:bookmarkStart w:id="4" w:name="_GoBack"/>
            <w:bookmarkEnd w:id="4"/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/>
                <w:b/>
                <w:kern w:val="0"/>
                <w:sz w:val="24"/>
              </w:rPr>
            </w:pPr>
            <w:r>
              <w:rPr>
                <w:rFonts w:hint="eastAsia" w:ascii="Times New Roman" w:hAnsi="Times New Roman"/>
                <w:b/>
                <w:kern w:val="0"/>
                <w:sz w:val="24"/>
              </w:rPr>
              <w:t>30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90" w:hRule="atLeast"/>
          <w:jc w:val="center"/>
        </w:trPr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ascii="Times New Roman" w:hAnsi="Times New Roman" w:eastAsia="宋体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 xml:space="preserve">2. </w:t>
            </w:r>
            <w:r>
              <w:rPr>
                <w:rFonts w:ascii="Times New Roman" w:hAnsi="Times New Roman"/>
                <w:sz w:val="24"/>
              </w:rPr>
              <w:t>采购商规模</w:t>
            </w:r>
          </w:p>
        </w:tc>
        <w:tc>
          <w:tcPr>
            <w:tcW w:w="104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spacing w:line="320" w:lineRule="exact"/>
              <w:rPr>
                <w:rFonts w:hint="eastAsia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活动要有一定规模，区内每场活动规模达120人以上，其中采购商不少于50人；区外每场活动规模达80人以上，其中采购商人数不少于50人。达到要求的得15分，未达到要求的按比例扣分。（证明材料：采购商签到表、采购商名录等）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</w:rPr>
              <w:t>15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26" w:hRule="atLeast"/>
          <w:jc w:val="center"/>
        </w:trPr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rPr>
                <w:rFonts w:ascii="Times New Roman" w:hAnsi="Times New Roman" w:eastAsia="宋体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</w:t>
            </w:r>
            <w:r>
              <w:rPr>
                <w:rFonts w:hint="eastAsia" w:ascii="Times New Roman" w:hAnsi="Times New Roman"/>
                <w:sz w:val="24"/>
              </w:rPr>
              <w:t>联农带农机制</w:t>
            </w:r>
          </w:p>
        </w:tc>
        <w:tc>
          <w:tcPr>
            <w:tcW w:w="104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区内每场活动参加的广西农业企业、农民专业合作社等不少于70人；区外的每场活动参加的广西农业企业、农民专业合作社等人数可根据实际情况确定，但要体现联农带农成效，参加的广西农业企业、农民专业合作社等关联的农户不少于50家。达到要求的得15分，未达到要求的按比例扣分。（证明材料：签到表、生产经营主体名录等）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宋体"/>
                <w:sz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</w:rPr>
              <w:t>15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79" w:hRule="atLeast"/>
          <w:jc w:val="center"/>
        </w:trPr>
        <w:tc>
          <w:tcPr>
            <w:tcW w:w="1303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ascii="Times New Roman" w:hAnsi="Times New Roman" w:eastAsia="黑体"/>
                <w:bCs/>
                <w:sz w:val="24"/>
              </w:rPr>
            </w:pPr>
            <w:r>
              <w:rPr>
                <w:rFonts w:hint="eastAsia" w:ascii="Times New Roman" w:hAnsi="Times New Roman" w:eastAsia="黑体"/>
                <w:bCs/>
                <w:sz w:val="24"/>
              </w:rPr>
              <w:t>三</w:t>
            </w:r>
            <w:r>
              <w:rPr>
                <w:rFonts w:ascii="Times New Roman" w:hAnsi="Times New Roman" w:eastAsia="黑体"/>
                <w:bCs/>
                <w:sz w:val="24"/>
              </w:rPr>
              <w:t>、活动成效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hint="eastAsia" w:ascii="Times New Roman" w:hAnsi="Times New Roman"/>
                <w:b/>
                <w:sz w:val="24"/>
              </w:rPr>
              <w:t>40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ascii="Times New Roman" w:hAnsi="Times New Roman"/>
                <w:bCs/>
                <w:sz w:val="24"/>
              </w:rPr>
            </w:pP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9" w:hRule="atLeast"/>
          <w:jc w:val="center"/>
        </w:trPr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rPr>
                <w:rFonts w:ascii="Times New Roman" w:hAnsi="Times New Roman" w:eastAsia="宋体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 xml:space="preserve">4. </w:t>
            </w:r>
            <w:r>
              <w:rPr>
                <w:rFonts w:hint="eastAsia" w:ascii="Times New Roman" w:hAnsi="Times New Roman"/>
                <w:kern w:val="0"/>
                <w:sz w:val="24"/>
              </w:rPr>
              <w:t>产销成果</w:t>
            </w:r>
          </w:p>
        </w:tc>
        <w:tc>
          <w:tcPr>
            <w:tcW w:w="104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rPr>
                <w:rFonts w:ascii="Times New Roman" w:hAnsi="Times New Roman" w:eastAsia="宋体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单场活动现场成交和合同交易额在</w:t>
            </w:r>
            <w:r>
              <w:rPr>
                <w:rFonts w:hint="eastAsia" w:ascii="Times New Roman" w:hAnsi="Times New Roman"/>
                <w:color w:val="000000"/>
                <w:sz w:val="24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>000万元以上的得20分，</w:t>
            </w:r>
            <w:r>
              <w:rPr>
                <w:rFonts w:hint="eastAsia"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>000－</w:t>
            </w:r>
            <w:r>
              <w:rPr>
                <w:rFonts w:hint="eastAsia" w:ascii="Times New Roman" w:hAnsi="Times New Roman"/>
                <w:color w:val="000000"/>
                <w:sz w:val="24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>000万元的得1</w:t>
            </w:r>
            <w:r>
              <w:rPr>
                <w:rFonts w:hint="eastAsia" w:ascii="Times New Roman" w:hAnsi="Times New Roman"/>
                <w:color w:val="000000"/>
                <w:sz w:val="24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</w:rPr>
              <w:t>分，</w:t>
            </w:r>
            <w:r>
              <w:rPr>
                <w:rFonts w:hint="eastAsia"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>000万元以下</w:t>
            </w:r>
            <w:r>
              <w:rPr>
                <w:rFonts w:hint="eastAsia" w:ascii="Times New Roman" w:hAnsi="Times New Roman"/>
                <w:color w:val="000000"/>
                <w:sz w:val="24"/>
              </w:rPr>
              <w:t>不得</w:t>
            </w:r>
            <w:r>
              <w:rPr>
                <w:rFonts w:ascii="Times New Roman" w:hAnsi="Times New Roman"/>
                <w:color w:val="000000"/>
                <w:sz w:val="24"/>
              </w:rPr>
              <w:t>分。（证明材料:签约合同、</w:t>
            </w:r>
            <w:r>
              <w:rPr>
                <w:rFonts w:hint="eastAsia" w:ascii="Times New Roman" w:hAnsi="Times New Roman"/>
                <w:color w:val="000000"/>
                <w:sz w:val="24"/>
              </w:rPr>
              <w:t>签约仪式</w:t>
            </w:r>
            <w:r>
              <w:rPr>
                <w:rFonts w:ascii="Times New Roman" w:hAnsi="Times New Roman"/>
                <w:color w:val="000000"/>
                <w:sz w:val="24"/>
              </w:rPr>
              <w:t>照片</w:t>
            </w:r>
            <w:r>
              <w:rPr>
                <w:rFonts w:hint="eastAsia" w:ascii="Times New Roman" w:hAnsi="Times New Roman"/>
                <w:color w:val="000000"/>
                <w:sz w:val="24"/>
              </w:rPr>
              <w:t>、媒体宣传</w:t>
            </w:r>
            <w:r>
              <w:rPr>
                <w:rFonts w:ascii="Times New Roman" w:hAnsi="Times New Roman"/>
                <w:color w:val="000000"/>
                <w:sz w:val="24"/>
              </w:rPr>
              <w:t>等）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宋体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20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25" w:hRule="atLeast"/>
          <w:jc w:val="center"/>
        </w:trPr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abs>
                <w:tab w:val="left" w:pos="312"/>
              </w:tabs>
              <w:adjustRightInd w:val="0"/>
              <w:snapToGrid w:val="0"/>
              <w:spacing w:line="320" w:lineRule="exac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5. 媒体宣传</w:t>
            </w:r>
          </w:p>
        </w:tc>
        <w:tc>
          <w:tcPr>
            <w:tcW w:w="104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rPr>
                <w:rFonts w:ascii="Times New Roman" w:hAnsi="Times New Roman" w:eastAsia="宋体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在举办地省级以上媒体</w:t>
            </w:r>
            <w:r>
              <w:rPr>
                <w:rFonts w:hint="eastAsia" w:ascii="Times New Roman" w:hAnsi="Times New Roman"/>
                <w:sz w:val="24"/>
              </w:rPr>
              <w:t>（含新媒体）</w:t>
            </w:r>
            <w:r>
              <w:rPr>
                <w:rFonts w:ascii="Times New Roman" w:hAnsi="Times New Roman"/>
                <w:sz w:val="24"/>
              </w:rPr>
              <w:t>宣传报道5篇以上，制作1条以上线上推广视频得10分，5-3篇以上或制作1条以上视频得5分，3篇以下得2分。（证明材料：宣传稿、宣传视频链接等）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1</w:t>
            </w:r>
            <w:r>
              <w:rPr>
                <w:rFonts w:hint="eastAsia" w:ascii="Times New Roman" w:hAnsi="Times New Roman"/>
                <w:kern w:val="0"/>
                <w:sz w:val="24"/>
              </w:rPr>
              <w:t>0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25" w:hRule="atLeast"/>
          <w:jc w:val="center"/>
        </w:trPr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abs>
                <w:tab w:val="left" w:pos="312"/>
              </w:tabs>
              <w:adjustRightInd w:val="0"/>
              <w:snapToGrid w:val="0"/>
              <w:spacing w:line="320" w:lineRule="exac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</w:rPr>
              <w:t>6.产销对接</w:t>
            </w:r>
          </w:p>
        </w:tc>
        <w:tc>
          <w:tcPr>
            <w:tcW w:w="104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ind w:left="240" w:hanging="240" w:hangingChars="10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组织开展农产品批发市场走访考察活动并与市场管理方、商户交流，或与大型供应链公司调研座谈的得10分。（证件材料：现场照片等）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</w:rPr>
              <w:t>10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38" w:hRule="atLeast"/>
          <w:jc w:val="center"/>
        </w:trPr>
        <w:tc>
          <w:tcPr>
            <w:tcW w:w="1303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ascii="Times New Roman" w:hAnsi="Times New Roman" w:eastAsia="黑体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黑体"/>
                <w:color w:val="000000"/>
                <w:sz w:val="24"/>
              </w:rPr>
              <w:t>三、</w:t>
            </w:r>
            <w:r>
              <w:rPr>
                <w:rFonts w:hint="eastAsia" w:ascii="Times New Roman" w:hAnsi="Times New Roman" w:eastAsia="黑体"/>
                <w:color w:val="000000"/>
                <w:sz w:val="24"/>
              </w:rPr>
              <w:t>项目</w:t>
            </w:r>
            <w:r>
              <w:rPr>
                <w:rFonts w:ascii="Times New Roman" w:hAnsi="Times New Roman" w:eastAsia="黑体"/>
                <w:color w:val="000000"/>
                <w:sz w:val="24"/>
              </w:rPr>
              <w:t>管理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黑体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黑体"/>
                <w:b/>
                <w:bCs/>
                <w:color w:val="000000"/>
                <w:sz w:val="24"/>
              </w:rPr>
              <w:t>20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ascii="Times New Roman" w:hAnsi="Times New Roman"/>
                <w:bCs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63" w:hRule="atLeast"/>
          <w:jc w:val="center"/>
        </w:trPr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</w:rPr>
              <w:t>7.项目进度</w:t>
            </w:r>
          </w:p>
        </w:tc>
        <w:tc>
          <w:tcPr>
            <w:tcW w:w="10437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ascii="Times New Roman" w:hAnsi="Times New Roman" w:eastAsia="宋体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202</w:t>
            </w:r>
            <w:r>
              <w:rPr>
                <w:rFonts w:hint="eastAsia" w:ascii="Times New Roman" w:hAnsi="Times New Roman"/>
                <w:color w:val="000000"/>
                <w:sz w:val="24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>年</w:t>
            </w:r>
            <w:r>
              <w:rPr>
                <w:rFonts w:hint="eastAsia" w:ascii="Times New Roman" w:hAnsi="Times New Roman"/>
                <w:color w:val="000000"/>
                <w:sz w:val="24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>月</w:t>
            </w:r>
            <w:r>
              <w:rPr>
                <w:rFonts w:hint="eastAsia" w:ascii="Times New Roman" w:hAnsi="Times New Roman"/>
                <w:color w:val="000000"/>
                <w:sz w:val="24"/>
              </w:rPr>
              <w:t>30</w:t>
            </w:r>
            <w:r>
              <w:rPr>
                <w:rFonts w:ascii="Times New Roman" w:hAnsi="Times New Roman"/>
                <w:color w:val="000000"/>
                <w:sz w:val="24"/>
              </w:rPr>
              <w:t>日</w:t>
            </w:r>
            <w:r>
              <w:rPr>
                <w:rFonts w:hint="eastAsia" w:ascii="Times New Roman" w:hAnsi="Times New Roman"/>
                <w:color w:val="000000"/>
                <w:sz w:val="24"/>
              </w:rPr>
              <w:t>前</w:t>
            </w:r>
            <w:r>
              <w:rPr>
                <w:rFonts w:ascii="Times New Roman" w:hAnsi="Times New Roman"/>
                <w:color w:val="000000"/>
                <w:sz w:val="24"/>
              </w:rPr>
              <w:t>完成</w:t>
            </w:r>
            <w:r>
              <w:rPr>
                <w:rFonts w:hint="eastAsia" w:ascii="Times New Roman" w:hAnsi="Times New Roman"/>
                <w:color w:val="000000"/>
                <w:sz w:val="24"/>
              </w:rPr>
              <w:t>项目实施及验收得5分，否则不得分。（证明材料：验收报告）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黑体"/>
                <w:color w:val="000000"/>
                <w:sz w:val="24"/>
              </w:rPr>
            </w:pPr>
            <w:r>
              <w:rPr>
                <w:rFonts w:hint="eastAsia" w:ascii="Times New Roman" w:hAnsi="Times New Roman" w:eastAsia="黑体"/>
                <w:color w:val="000000"/>
                <w:sz w:val="24"/>
              </w:rPr>
              <w:t>5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ascii="Times New Roman" w:hAnsi="Times New Roman"/>
                <w:bCs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87" w:hRule="atLeast"/>
          <w:jc w:val="center"/>
        </w:trPr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8. 资金</w:t>
            </w:r>
            <w:r>
              <w:rPr>
                <w:rFonts w:hint="eastAsia" w:ascii="Times New Roman" w:hAnsi="Times New Roman"/>
                <w:color w:val="000000"/>
                <w:kern w:val="0"/>
                <w:sz w:val="24"/>
              </w:rPr>
              <w:t>拨付</w:t>
            </w:r>
            <w:r>
              <w:rPr>
                <w:rFonts w:ascii="Times New Roman" w:hAnsi="Times New Roman"/>
                <w:color w:val="000000"/>
                <w:sz w:val="24"/>
              </w:rPr>
              <w:t>进度</w:t>
            </w:r>
          </w:p>
        </w:tc>
        <w:tc>
          <w:tcPr>
            <w:tcW w:w="10437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ascii="Times New Roman" w:hAnsi="Times New Roman" w:eastAsia="宋体"/>
                <w:color w:val="000000"/>
                <w:sz w:val="24"/>
              </w:rPr>
            </w:pPr>
            <w:bookmarkStart w:id="0" w:name="OLE_LINK59"/>
            <w:bookmarkStart w:id="1" w:name="OLE_LINK58"/>
            <w:r>
              <w:rPr>
                <w:rFonts w:ascii="Times New Roman" w:hAnsi="Times New Roman"/>
                <w:color w:val="000000"/>
                <w:sz w:val="24"/>
              </w:rPr>
              <w:t>202</w:t>
            </w:r>
            <w:r>
              <w:rPr>
                <w:rFonts w:hint="eastAsia" w:ascii="Times New Roman" w:hAnsi="Times New Roman"/>
                <w:color w:val="000000"/>
                <w:sz w:val="24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>年</w:t>
            </w:r>
            <w:r>
              <w:rPr>
                <w:rFonts w:hint="eastAsia" w:ascii="Times New Roman" w:hAnsi="Times New Roman"/>
                <w:color w:val="000000"/>
                <w:sz w:val="24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>月</w:t>
            </w:r>
            <w:r>
              <w:rPr>
                <w:rFonts w:hint="eastAsia" w:ascii="Times New Roman" w:hAnsi="Times New Roman"/>
                <w:color w:val="000000"/>
                <w:sz w:val="24"/>
              </w:rPr>
              <w:t>30</w:t>
            </w:r>
            <w:r>
              <w:rPr>
                <w:rFonts w:ascii="Times New Roman" w:hAnsi="Times New Roman"/>
                <w:color w:val="000000"/>
                <w:sz w:val="24"/>
              </w:rPr>
              <w:t>日</w:t>
            </w:r>
            <w:r>
              <w:rPr>
                <w:rFonts w:hint="eastAsia" w:ascii="Times New Roman" w:hAnsi="Times New Roman"/>
                <w:color w:val="000000"/>
                <w:sz w:val="24"/>
              </w:rPr>
              <w:t>前</w:t>
            </w:r>
            <w:r>
              <w:rPr>
                <w:rFonts w:ascii="Times New Roman" w:hAnsi="Times New Roman"/>
                <w:color w:val="000000"/>
                <w:sz w:val="24"/>
              </w:rPr>
              <w:t>完成</w:t>
            </w:r>
            <w:r>
              <w:rPr>
                <w:rFonts w:hint="eastAsia" w:ascii="Times New Roman" w:hAnsi="Times New Roman"/>
                <w:color w:val="000000"/>
                <w:sz w:val="24"/>
              </w:rPr>
              <w:t>项目</w:t>
            </w:r>
            <w:bookmarkEnd w:id="0"/>
            <w:bookmarkEnd w:id="1"/>
            <w:r>
              <w:rPr>
                <w:rFonts w:ascii="Times New Roman" w:hAnsi="Times New Roman"/>
                <w:color w:val="000000"/>
                <w:sz w:val="24"/>
              </w:rPr>
              <w:t>资金</w:t>
            </w:r>
            <w:bookmarkStart w:id="2" w:name="OLE_LINK57"/>
            <w:bookmarkStart w:id="3" w:name="OLE_LINK56"/>
            <w:r>
              <w:rPr>
                <w:rFonts w:hint="eastAsia" w:ascii="Times New Roman" w:hAnsi="Times New Roman"/>
                <w:color w:val="000000"/>
                <w:sz w:val="24"/>
              </w:rPr>
              <w:t>拨付</w:t>
            </w:r>
            <w:bookmarkEnd w:id="2"/>
            <w:bookmarkEnd w:id="3"/>
            <w:r>
              <w:rPr>
                <w:rFonts w:ascii="Times New Roman" w:hAnsi="Times New Roman"/>
                <w:color w:val="000000"/>
                <w:sz w:val="24"/>
              </w:rPr>
              <w:t>达100%得1</w:t>
            </w:r>
            <w:r>
              <w:rPr>
                <w:rFonts w:hint="eastAsia" w:ascii="Times New Roman" w:hAnsi="Times New Roman"/>
                <w:color w:val="000000"/>
                <w:sz w:val="24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>分，资金</w:t>
            </w:r>
            <w:r>
              <w:rPr>
                <w:rFonts w:hint="eastAsia" w:ascii="Times New Roman" w:hAnsi="Times New Roman"/>
                <w:color w:val="000000"/>
                <w:kern w:val="0"/>
                <w:sz w:val="24"/>
              </w:rPr>
              <w:t>拨付</w:t>
            </w:r>
            <w:r>
              <w:rPr>
                <w:rFonts w:ascii="Times New Roman" w:hAnsi="Times New Roman"/>
                <w:color w:val="000000"/>
                <w:sz w:val="24"/>
              </w:rPr>
              <w:t>达80%得</w:t>
            </w:r>
            <w:r>
              <w:rPr>
                <w:rFonts w:hint="eastAsia" w:ascii="Times New Roman" w:hAnsi="Times New Roman"/>
                <w:color w:val="000000"/>
                <w:sz w:val="24"/>
              </w:rPr>
              <w:t>10</w:t>
            </w:r>
            <w:r>
              <w:rPr>
                <w:rFonts w:ascii="Times New Roman" w:hAnsi="Times New Roman"/>
                <w:color w:val="000000"/>
                <w:sz w:val="24"/>
              </w:rPr>
              <w:t>分，资金</w:t>
            </w:r>
            <w:r>
              <w:rPr>
                <w:rFonts w:hint="eastAsia" w:ascii="Times New Roman" w:hAnsi="Times New Roman"/>
                <w:color w:val="000000"/>
                <w:kern w:val="0"/>
                <w:sz w:val="24"/>
              </w:rPr>
              <w:t>拨付</w:t>
            </w:r>
            <w:r>
              <w:rPr>
                <w:rFonts w:ascii="Times New Roman" w:hAnsi="Times New Roman"/>
                <w:color w:val="000000"/>
                <w:sz w:val="24"/>
              </w:rPr>
              <w:t>未达80%以上的不得分。（证明材料：项目资金</w:t>
            </w:r>
            <w:r>
              <w:rPr>
                <w:rFonts w:hint="eastAsia" w:ascii="Times New Roman" w:hAnsi="Times New Roman"/>
                <w:color w:val="000000"/>
                <w:kern w:val="0"/>
                <w:sz w:val="24"/>
              </w:rPr>
              <w:t>拨付</w:t>
            </w:r>
            <w:r>
              <w:rPr>
                <w:rFonts w:ascii="Times New Roman" w:hAnsi="Times New Roman"/>
                <w:color w:val="000000"/>
                <w:sz w:val="24"/>
              </w:rPr>
              <w:t>凭证</w:t>
            </w:r>
            <w:r>
              <w:rPr>
                <w:rFonts w:hint="eastAsia" w:ascii="Times New Roman" w:hAnsi="Times New Roman"/>
                <w:color w:val="000000"/>
                <w:sz w:val="24"/>
              </w:rPr>
              <w:t>等</w:t>
            </w:r>
            <w:r>
              <w:rPr>
                <w:rFonts w:ascii="Times New Roman" w:hAnsi="Times New Roman"/>
                <w:color w:val="000000"/>
                <w:sz w:val="24"/>
              </w:rPr>
              <w:t>）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黑体"/>
                <w:color w:val="000000"/>
                <w:sz w:val="24"/>
              </w:rPr>
            </w:pPr>
            <w:r>
              <w:rPr>
                <w:rFonts w:hint="eastAsia" w:ascii="Times New Roman" w:hAnsi="Times New Roman" w:eastAsia="黑体"/>
                <w:color w:val="000000"/>
                <w:sz w:val="24"/>
              </w:rPr>
              <w:t>15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ascii="Times New Roman" w:hAnsi="Times New Roman"/>
                <w:bCs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94" w:hRule="atLeast"/>
          <w:jc w:val="center"/>
        </w:trPr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437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eastAsia="黑体"/>
                <w:b/>
                <w:bCs/>
                <w:sz w:val="24"/>
              </w:rPr>
              <w:t>合　计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黑体"/>
                <w:sz w:val="24"/>
              </w:rPr>
            </w:pPr>
            <w:r>
              <w:rPr>
                <w:rFonts w:ascii="Times New Roman" w:hAnsi="Times New Roman" w:eastAsia="黑体"/>
                <w:sz w:val="24"/>
              </w:rPr>
              <w:t>100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ascii="Times New Roman" w:hAnsi="Times New Roman"/>
                <w:bCs/>
                <w:sz w:val="24"/>
              </w:rPr>
            </w:pP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94" w:hRule="atLeast"/>
          <w:jc w:val="center"/>
        </w:trPr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left"/>
              <w:rPr>
                <w:rFonts w:ascii="Times New Roman" w:hAnsi="Times New Roman" w:eastAsia="黑体"/>
                <w:bCs/>
                <w:sz w:val="24"/>
              </w:rPr>
            </w:pPr>
            <w:r>
              <w:rPr>
                <w:rFonts w:hint="eastAsia" w:ascii="Times New Roman" w:hAnsi="Times New Roman" w:eastAsia="黑体"/>
                <w:bCs/>
                <w:sz w:val="24"/>
              </w:rPr>
              <w:t>四、加分项</w:t>
            </w:r>
          </w:p>
        </w:tc>
        <w:tc>
          <w:tcPr>
            <w:tcW w:w="10437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黑体"/>
                <w:b/>
                <w:bCs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</w:rPr>
              <w:t>项目</w:t>
            </w:r>
            <w:r>
              <w:rPr>
                <w:rFonts w:ascii="Times New Roman" w:hAnsi="Times New Roman"/>
                <w:color w:val="000000"/>
                <w:sz w:val="24"/>
              </w:rPr>
              <w:t>市、县（市、区）</w:t>
            </w:r>
            <w:r>
              <w:rPr>
                <w:rFonts w:ascii="Times New Roman" w:hAnsi="Times New Roman"/>
                <w:sz w:val="24"/>
              </w:rPr>
              <w:t>配套相应活动资金，</w:t>
            </w:r>
            <w:r>
              <w:rPr>
                <w:rFonts w:ascii="Times New Roman" w:hAnsi="Times New Roman"/>
                <w:color w:val="000000"/>
                <w:sz w:val="24"/>
              </w:rPr>
              <w:t>达</w:t>
            </w:r>
            <w:r>
              <w:rPr>
                <w:rFonts w:hint="eastAsia" w:ascii="Times New Roman" w:hAnsi="Times New Roman"/>
                <w:color w:val="000000"/>
                <w:sz w:val="24"/>
              </w:rPr>
              <w:t>10</w:t>
            </w:r>
            <w:r>
              <w:rPr>
                <w:rFonts w:ascii="Times New Roman" w:hAnsi="Times New Roman"/>
                <w:color w:val="000000"/>
                <w:sz w:val="24"/>
              </w:rPr>
              <w:t>万元以上的</w:t>
            </w:r>
            <w:r>
              <w:rPr>
                <w:rFonts w:hint="eastAsia" w:ascii="Times New Roman" w:hAnsi="Times New Roman"/>
                <w:color w:val="000000"/>
                <w:sz w:val="24"/>
              </w:rPr>
              <w:t>加5</w:t>
            </w:r>
            <w:r>
              <w:rPr>
                <w:rFonts w:ascii="Times New Roman" w:hAnsi="Times New Roman"/>
                <w:color w:val="000000"/>
                <w:sz w:val="24"/>
              </w:rPr>
              <w:t>分。（证明材料：资金配套证明</w:t>
            </w:r>
            <w:r>
              <w:rPr>
                <w:rFonts w:hint="eastAsia" w:ascii="Times New Roman" w:hAnsi="Times New Roman"/>
                <w:color w:val="000000"/>
                <w:sz w:val="24"/>
              </w:rPr>
              <w:t>等</w:t>
            </w:r>
            <w:r>
              <w:rPr>
                <w:rFonts w:ascii="Times New Roman" w:hAnsi="Times New Roman"/>
                <w:color w:val="000000"/>
                <w:sz w:val="24"/>
              </w:rPr>
              <w:t>）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黑体"/>
                <w:sz w:val="24"/>
              </w:rPr>
            </w:pP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ascii="Times New Roman" w:hAnsi="Times New Roman"/>
                <w:bCs/>
                <w:sz w:val="24"/>
              </w:rPr>
            </w:pP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90" w:hRule="atLeast"/>
          <w:jc w:val="center"/>
        </w:trPr>
        <w:tc>
          <w:tcPr>
            <w:tcW w:w="32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市农业农村局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项目验收评分</w:t>
            </w:r>
          </w:p>
        </w:tc>
        <w:tc>
          <w:tcPr>
            <w:tcW w:w="1153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right"/>
              <w:rPr>
                <w:rFonts w:ascii="Times New Roman" w:hAnsi="Times New Roman"/>
                <w:bCs/>
                <w:color w:val="000000"/>
                <w:sz w:val="24"/>
              </w:rPr>
            </w:pPr>
          </w:p>
          <w:p>
            <w:pPr>
              <w:adjustRightInd w:val="0"/>
              <w:snapToGrid w:val="0"/>
              <w:spacing w:line="320" w:lineRule="exact"/>
              <w:jc w:val="right"/>
              <w:rPr>
                <w:rFonts w:ascii="Times New Roman" w:hAnsi="Times New Roman"/>
                <w:bCs/>
                <w:color w:val="000000"/>
                <w:sz w:val="24"/>
              </w:rPr>
            </w:pP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/>
                <w:bCs/>
                <w:color w:val="000000"/>
                <w:sz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</w:rPr>
              <w:t xml:space="preserve">                                              负责人签名：（单位公章）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黑体"/>
                <w:b/>
                <w:bCs/>
                <w:sz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</w:rPr>
              <w:t xml:space="preserve">                                              年   月   日</w:t>
            </w:r>
          </w:p>
        </w:tc>
      </w:tr>
    </w:tbl>
    <w:p>
      <w:pPr>
        <w:widowControl/>
        <w:adjustRightInd w:val="0"/>
        <w:snapToGrid w:val="0"/>
        <w:spacing w:line="320" w:lineRule="exact"/>
        <w:rPr>
          <w:rFonts w:ascii="Times New Roman" w:hAnsi="Times New Roman"/>
          <w:kern w:val="0"/>
          <w:sz w:val="24"/>
        </w:rPr>
      </w:pPr>
      <w:r>
        <w:rPr>
          <w:rFonts w:ascii="Times New Roman" w:hAnsi="Times New Roman"/>
          <w:kern w:val="0"/>
          <w:sz w:val="24"/>
        </w:rPr>
        <w:t>说明：1.总分100分，60分以上为合格，评分80－100分的认定为优秀，60－80分的为良好。</w:t>
      </w:r>
    </w:p>
    <w:p>
      <w:pPr>
        <w:rPr>
          <w:rFonts w:hint="eastAsia" w:eastAsia="仿宋_GB2312"/>
          <w:lang w:eastAsia="zh-CN"/>
        </w:rPr>
      </w:pPr>
      <w:r>
        <w:rPr>
          <w:rFonts w:hint="eastAsia" w:ascii="Times New Roman" w:hAnsi="Times New Roman"/>
          <w:kern w:val="0"/>
          <w:sz w:val="24"/>
        </w:rPr>
        <w:t>2.</w:t>
      </w:r>
      <w:r>
        <w:rPr>
          <w:rFonts w:ascii="Times New Roman" w:hAnsi="Times New Roman"/>
          <w:kern w:val="0"/>
          <w:sz w:val="24"/>
        </w:rPr>
        <w:t>活动实施情况总结及其它证明材料随表附后，由市级农业农村部门</w:t>
      </w:r>
      <w:r>
        <w:rPr>
          <w:rFonts w:hint="eastAsia" w:ascii="Times New Roman" w:hAnsi="Times New Roman"/>
          <w:kern w:val="0"/>
          <w:sz w:val="24"/>
        </w:rPr>
        <w:t>负责验收</w:t>
      </w:r>
      <w:r>
        <w:rPr>
          <w:rFonts w:hint="eastAsia" w:ascii="Times New Roman" w:hAnsi="Times New Roman"/>
          <w:kern w:val="0"/>
          <w:sz w:val="24"/>
          <w:lang w:eastAsia="zh-CN"/>
        </w:rPr>
        <w:t>。</w:t>
      </w:r>
    </w:p>
    <w:p/>
    <w:p/>
    <w:sectPr>
      <w:pgSz w:w="16838" w:h="11906" w:orient="landscape"/>
      <w:pgMar w:top="1417" w:right="1440" w:bottom="1417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_GB2312">
    <w:altName w:val="仿宋"/>
    <w:panose1 w:val="02010609030101010101"/>
    <w:charset w:val="00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true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9EE"/>
    <w:rsid w:val="001A22AB"/>
    <w:rsid w:val="001A4E8C"/>
    <w:rsid w:val="00AA2125"/>
    <w:rsid w:val="00C859EE"/>
    <w:rsid w:val="DFDCF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bCs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样式1"/>
    <w:basedOn w:val="1"/>
    <w:link w:val="5"/>
    <w:qFormat/>
    <w:uiPriority w:val="0"/>
    <w:rPr>
      <w:b/>
      <w:color w:val="548235" w:themeColor="accent6" w:themeShade="BF"/>
      <w:sz w:val="28"/>
    </w:rPr>
  </w:style>
  <w:style w:type="character" w:customStyle="1" w:styleId="5">
    <w:name w:val="样式1 Char"/>
    <w:basedOn w:val="3"/>
    <w:link w:val="4"/>
    <w:qFormat/>
    <w:uiPriority w:val="0"/>
    <w:rPr>
      <w:b/>
      <w:color w:val="548235" w:themeColor="accent6" w:themeShade="BF"/>
      <w:sz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Yozosoft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2020-05-08T14:11:00Z</dcterms:created>
  <dc:creator>User274</dc:creator>
  <cp:lastModifiedBy>gxxc</cp:lastModifiedBy>
  <dcterms:modified xsi:type="dcterms:W3CDTF">2025-08-04T10:37:52Z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</Properties>
</file>