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widowControl w:val="0"/>
        <w:shd w:val="clear" w:color="auto" w:fill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黑体" w:eastAsia="方正小标宋简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color w:val="auto"/>
          <w:kern w:val="2"/>
          <w:sz w:val="44"/>
          <w:szCs w:val="44"/>
          <w:lang w:val="en-US" w:eastAsia="zh-CN" w:bidi="ar-SA"/>
        </w:rPr>
        <w:t>“中国渔政亮剑2023”力量投入调度汇总表</w:t>
      </w:r>
    </w:p>
    <w:p>
      <w:pPr>
        <w:spacing w:line="540" w:lineRule="exact"/>
        <w:ind w:left="0" w:leftChars="0" w:firstLine="0" w:firstLineChars="0"/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填报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  <w:t>联系方式（手机）：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5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40"/>
        <w:gridCol w:w="566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396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调度项目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执法宣传</w:t>
            </w:r>
          </w:p>
        </w:tc>
        <w:tc>
          <w:tcPr>
            <w:tcW w:w="620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*印发宣传材料（份）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*组织开展集中公开拆解销毁活动（场次）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清理取缔涉渔“三无”船舶（场次）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违规渔具渔法清理整治（场次）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*媒体宣传（次）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中央媒体宣传（次数）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省部级媒体宣传（次数）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新媒体宣传（次数）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1195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执法力量</w:t>
            </w:r>
          </w:p>
        </w:tc>
        <w:tc>
          <w:tcPr>
            <w:tcW w:w="620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*出动执法人员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涉渔船舶审批修造检验监管专项行动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*出动执法车辆（辆次）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*出动执法船艇（艘次）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海洋伏季休渔专项行动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内陆水域禁渔专项行动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严厉打击破坏水生野生动物资源行为专项行动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清理取缔涉渔“三无”船舶和“绝户网”专项行动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重拳打击电鱼专项行动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规范使用水产养殖用投入品专项行动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涉外渔业专项行动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渔业安全生产源头治理专项行动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6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渔港渔船水污染防治检查行动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ind w:left="0" w:leftChars="0" w:firstLine="0" w:firstLineChars="0"/>
        <w:rPr>
          <w:rFonts w:hint="default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z w:val="21"/>
          <w:szCs w:val="21"/>
          <w:u w:val="none"/>
          <w:lang w:val="en-US" w:eastAsia="zh-CN"/>
        </w:rPr>
        <w:t>注：行动未涉及的地方，不填写该栏目，特殊数据可备注。</w:t>
      </w:r>
    </w:p>
    <w:p>
      <w:bookmarkStart w:id="0" w:name="_GoBack"/>
      <w:bookmarkEnd w:id="0"/>
    </w:p>
    <w:sectPr>
      <w:footerReference r:id="rId3" w:type="default"/>
      <w:pgSz w:w="11906" w:h="16838"/>
      <w:pgMar w:top="1270" w:right="1519" w:bottom="1327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A4F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2023-06-08T16:54:54Z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