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color w:val="auto"/>
          <w:kern w:val="2"/>
          <w:sz w:val="32"/>
          <w:szCs w:val="32"/>
          <w:lang w:val="en-US" w:eastAsia="zh-CN" w:bidi="ar-SA"/>
        </w:rPr>
        <w:t>“中国渔政亮剑2023”检查事项调度汇总表</w:t>
      </w:r>
    </w:p>
    <w:p>
      <w:pPr>
        <w:spacing w:line="540" w:lineRule="exact"/>
        <w:ind w:left="0" w:leftChars="0" w:firstLine="0" w:firstLineChars="0"/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填报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>联系方式（手机）：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36"/>
        <w:gridCol w:w="2674"/>
        <w:gridCol w:w="317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38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调度项目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60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岸上执法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*检查渔港码头及渔船自然停靠点（个次）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*检查船舶网具修造厂点（个次）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FF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*检查市场（个次）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*检查自然保护地内水生野生动物栖息地（个次）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*检查水生野生动物繁育展演场所（个次）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*规范使用水产养殖用投入品专项行动检查养殖场点（个次）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水上执法</w:t>
            </w: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*检查渔船(艘次)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海洋伏季休渔专项行动（以下根据实际情况填写）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*水上巡查里程（海里）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严厉打击破坏水生野生动物资源行为专项行动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清理取缔涉渔“三无”船舶和“绝户网”专项行动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重拳打击电鱼专项行动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涉渔船舶审批修造检验监管专项行动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规范使用水产养殖用投入品专项行动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涉外渔业专项行动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渔业安全生产源头治理专项行动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*陆上巡查里程（公里）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严厉打击破坏水生野生动物资源行为专项行动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清理取缔涉渔“三无”船舶和“绝户网”专项行动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重拳打击电鱼专项行动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涉渔船舶审批修造检验监管专项行动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规范使用水产养殖用投入品专项行动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涉外渔业专项行动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渔业安全生产源头治理专项行动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清理整治</w:t>
            </w: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清理取缔涉渔“三无”船舶（艘）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10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清理取缔涉渔“三无”船舶中</w:t>
            </w:r>
          </w:p>
        </w:tc>
        <w:tc>
          <w:tcPr>
            <w:tcW w:w="3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船长12米以上的（艘）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1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钢质的（艘）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清理整治违规网具数量（张顶）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清理整治跨区作业渔船数量（艘次）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81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清理整治水产养殖非法投入品数量（公斤）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ind w:left="0" w:leftChars="0" w:firstLine="0" w:firstLineChars="0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  <w:u w:val="none"/>
          <w:lang w:val="en-US" w:eastAsia="zh-CN"/>
        </w:rPr>
        <w:t>注：行动未涉及的地方，不填写该栏目，特殊数据可备注。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F9AC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2023-06-08T16:55:21Z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