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0" w:leftChars="0" w:firstLine="0" w:firstLineChars="0"/>
        <w:rPr>
          <w:rFonts w:hint="eastAsia" w:ascii="Times New Roman" w:hAnsi="Times New Roman" w:eastAsia="黑体" w:cs="黑体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4</w:t>
      </w:r>
    </w:p>
    <w:p>
      <w:pPr>
        <w:pStyle w:val="3"/>
        <w:widowControl w:val="0"/>
        <w:shd w:val="clear" w:color="auto" w:fill="auto"/>
        <w:adjustRightInd w:val="0"/>
        <w:snapToGrid w:val="0"/>
        <w:spacing w:before="0" w:beforeAutospacing="0" w:after="0" w:afterAutospacing="0" w:line="600" w:lineRule="exact"/>
        <w:jc w:val="center"/>
        <w:rPr>
          <w:rFonts w:hint="eastAsia" w:ascii="方正小标宋简体" w:hAnsi="黑体" w:eastAsia="方正小标宋简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黑体" w:eastAsia="方正小标宋简体" w:cs="黑体"/>
          <w:color w:val="auto"/>
          <w:kern w:val="2"/>
          <w:sz w:val="32"/>
          <w:szCs w:val="32"/>
          <w:lang w:val="en-US" w:eastAsia="zh-CN" w:bidi="ar-SA"/>
        </w:rPr>
        <w:t>“中国渔政亮剑2023”查办案件调度汇总表</w:t>
      </w:r>
    </w:p>
    <w:p>
      <w:pPr>
        <w:spacing w:line="540" w:lineRule="exact"/>
        <w:ind w:left="0" w:leftChars="0" w:firstLine="0" w:firstLineChars="0"/>
        <w:rPr>
          <w:rFonts w:hint="eastAsia" w:ascii="仿宋_GB2312" w:hAnsi="宋体" w:eastAsia="仿宋_GB2312" w:cs="宋体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sz w:val="28"/>
          <w:szCs w:val="28"/>
        </w:rPr>
        <w:t>填报</w:t>
      </w:r>
      <w:r>
        <w:rPr>
          <w:rFonts w:hint="eastAsia" w:ascii="仿宋_GB2312" w:hAnsi="宋体" w:eastAsia="仿宋_GB2312" w:cs="宋体"/>
          <w:color w:val="auto"/>
          <w:sz w:val="28"/>
          <w:szCs w:val="28"/>
          <w:lang w:eastAsia="zh-CN"/>
        </w:rPr>
        <w:t>人</w:t>
      </w:r>
      <w:r>
        <w:rPr>
          <w:rFonts w:hint="eastAsia" w:ascii="仿宋_GB2312" w:hAnsi="宋体" w:eastAsia="仿宋_GB2312" w:cs="宋体"/>
          <w:color w:val="auto"/>
          <w:sz w:val="28"/>
          <w:szCs w:val="28"/>
        </w:rPr>
        <w:t>：</w:t>
      </w:r>
      <w:r>
        <w:rPr>
          <w:rFonts w:hint="eastAsia" w:ascii="仿宋_GB2312" w:hAnsi="宋体" w:eastAsia="仿宋_GB2312" w:cs="宋体"/>
          <w:color w:val="auto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仿宋_GB2312" w:hAnsi="宋体" w:eastAsia="仿宋_GB2312" w:cs="宋体"/>
          <w:color w:val="auto"/>
          <w:sz w:val="28"/>
          <w:szCs w:val="28"/>
          <w:u w:val="none"/>
          <w:lang w:val="en-US" w:eastAsia="zh-CN"/>
        </w:rPr>
        <w:t>联系方式（手机）：</w:t>
      </w:r>
      <w:r>
        <w:rPr>
          <w:rFonts w:hint="eastAsia" w:ascii="仿宋_GB2312" w:hAnsi="宋体" w:eastAsia="仿宋_GB2312" w:cs="宋体"/>
          <w:color w:val="auto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仿宋_GB2312" w:hAnsi="宋体" w:eastAsia="仿宋_GB2312" w:cs="宋体"/>
          <w:color w:val="auto"/>
          <w:sz w:val="28"/>
          <w:szCs w:val="28"/>
          <w:u w:val="none"/>
          <w:lang w:val="en-US" w:eastAsia="zh-CN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708"/>
        <w:gridCol w:w="5890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292" w:type="dxa"/>
            <w:gridSpan w:val="3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宋体" w:eastAsia="仿宋_GB2312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调度项目</w:t>
            </w:r>
          </w:p>
        </w:tc>
        <w:tc>
          <w:tcPr>
            <w:tcW w:w="123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执法数据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exact"/>
          <w:jc w:val="center"/>
        </w:trPr>
        <w:tc>
          <w:tcPr>
            <w:tcW w:w="694" w:type="dxa"/>
            <w:vMerge w:val="restart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宋体" w:eastAsia="仿宋_GB2312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查办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违规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案件</w:t>
            </w:r>
          </w:p>
        </w:tc>
        <w:tc>
          <w:tcPr>
            <w:tcW w:w="6598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*查办违法违规案件（件）</w:t>
            </w:r>
          </w:p>
        </w:tc>
        <w:tc>
          <w:tcPr>
            <w:tcW w:w="123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exact"/>
          <w:jc w:val="center"/>
        </w:trPr>
        <w:tc>
          <w:tcPr>
            <w:tcW w:w="694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宋体" w:eastAsia="仿宋_GB2312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8" w:type="dxa"/>
            <w:vMerge w:val="restart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其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中</w:t>
            </w:r>
          </w:p>
        </w:tc>
        <w:tc>
          <w:tcPr>
            <w:tcW w:w="589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海洋伏季休渔专项行动</w:t>
            </w:r>
          </w:p>
        </w:tc>
        <w:tc>
          <w:tcPr>
            <w:tcW w:w="123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694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宋体" w:eastAsia="仿宋_GB2312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8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9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内陆水域禁渔专项行动</w:t>
            </w:r>
          </w:p>
        </w:tc>
        <w:tc>
          <w:tcPr>
            <w:tcW w:w="123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694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宋体" w:eastAsia="仿宋_GB2312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8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9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严厉打击破坏水生野生动物资源行为专项行动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694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宋体" w:eastAsia="仿宋_GB2312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8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9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清理取缔涉渔“三无”船舶和“绝户网”专项行动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694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宋体" w:eastAsia="仿宋_GB2312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8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9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重拳打击电鱼专项行动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694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宋体" w:eastAsia="仿宋_GB2312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8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9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涉渔船舶审批修造检验监管专项行动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694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宋体" w:eastAsia="仿宋_GB2312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8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9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规范使用水产养殖用投入品专项行动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694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宋体" w:eastAsia="仿宋_GB2312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8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9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涉外渔业专项行动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694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宋体" w:eastAsia="仿宋_GB2312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8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9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渔业安全生产源头治理专项行动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694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宋体" w:eastAsia="仿宋_GB2312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8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9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渔港渔船水污染防治检查行动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exact"/>
          <w:jc w:val="center"/>
        </w:trPr>
        <w:tc>
          <w:tcPr>
            <w:tcW w:w="694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宋体" w:eastAsia="仿宋_GB2312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598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*查获涉案人员（人）</w:t>
            </w:r>
          </w:p>
        </w:tc>
        <w:tc>
          <w:tcPr>
            <w:tcW w:w="123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exact"/>
          <w:jc w:val="center"/>
        </w:trPr>
        <w:tc>
          <w:tcPr>
            <w:tcW w:w="694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宋体" w:eastAsia="仿宋_GB2312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8" w:type="dxa"/>
            <w:vMerge w:val="restart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其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中</w:t>
            </w:r>
          </w:p>
        </w:tc>
        <w:tc>
          <w:tcPr>
            <w:tcW w:w="589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海洋伏季休渔专项行动</w:t>
            </w:r>
          </w:p>
        </w:tc>
        <w:tc>
          <w:tcPr>
            <w:tcW w:w="123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exact"/>
          <w:jc w:val="center"/>
        </w:trPr>
        <w:tc>
          <w:tcPr>
            <w:tcW w:w="694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宋体" w:eastAsia="仿宋_GB2312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8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9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内陆水域禁渔专项行动</w:t>
            </w:r>
          </w:p>
        </w:tc>
        <w:tc>
          <w:tcPr>
            <w:tcW w:w="123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exact"/>
          <w:jc w:val="center"/>
        </w:trPr>
        <w:tc>
          <w:tcPr>
            <w:tcW w:w="694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宋体" w:eastAsia="仿宋_GB2312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8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9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严厉打击破坏水生野生动物资源行为专项行动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exact"/>
          <w:jc w:val="center"/>
        </w:trPr>
        <w:tc>
          <w:tcPr>
            <w:tcW w:w="694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宋体" w:eastAsia="仿宋_GB2312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8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9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清理取缔涉渔“三无”船舶和“绝户网”专项行动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exact"/>
          <w:jc w:val="center"/>
        </w:trPr>
        <w:tc>
          <w:tcPr>
            <w:tcW w:w="694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宋体" w:eastAsia="仿宋_GB2312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8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9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重拳打击电鱼专项行动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exact"/>
          <w:jc w:val="center"/>
        </w:trPr>
        <w:tc>
          <w:tcPr>
            <w:tcW w:w="694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宋体" w:eastAsia="仿宋_GB2312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8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9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涉渔船舶审批修造检验监管专项行动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exact"/>
          <w:jc w:val="center"/>
        </w:trPr>
        <w:tc>
          <w:tcPr>
            <w:tcW w:w="694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宋体" w:eastAsia="仿宋_GB2312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8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9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规范使用水产养殖用投入品专项行动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94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宋体" w:eastAsia="仿宋_GB2312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8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9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涉外渔业专项行动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94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宋体" w:eastAsia="仿宋_GB2312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8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9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渔业安全生产源头治理专项行动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94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宋体" w:eastAsia="仿宋_GB2312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8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9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渔港渔船水污染防治检查行动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exact"/>
          <w:jc w:val="center"/>
        </w:trPr>
        <w:tc>
          <w:tcPr>
            <w:tcW w:w="694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598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*移送司法处理案件（件）</w:t>
            </w:r>
          </w:p>
        </w:tc>
        <w:tc>
          <w:tcPr>
            <w:tcW w:w="123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694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8" w:type="dxa"/>
            <w:vMerge w:val="restart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其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中</w:t>
            </w:r>
          </w:p>
        </w:tc>
        <w:tc>
          <w:tcPr>
            <w:tcW w:w="589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海洋伏季休渔专项行动</w:t>
            </w:r>
          </w:p>
        </w:tc>
        <w:tc>
          <w:tcPr>
            <w:tcW w:w="123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694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8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9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内陆水域禁渔专项行动</w:t>
            </w:r>
          </w:p>
        </w:tc>
        <w:tc>
          <w:tcPr>
            <w:tcW w:w="123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694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8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9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严厉打击破坏水生野生动物资源行为专项行动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694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8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9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清理取缔涉渔“三无”船舶和“绝户网”专项行动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694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8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9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重拳打击电鱼专项行动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694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8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9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涉渔船舶审批修造检验监管专项行动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694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8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9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规范使用水产养殖用投入品专项行动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694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8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9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涉外渔业专项行动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694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8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9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渔业安全生产源头治理专项行动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694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8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9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渔港渔船水污染防治检查行动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  <w:jc w:val="center"/>
        </w:trPr>
        <w:tc>
          <w:tcPr>
            <w:tcW w:w="694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598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*移送司法处理人员（人）</w:t>
            </w:r>
          </w:p>
        </w:tc>
        <w:tc>
          <w:tcPr>
            <w:tcW w:w="123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694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8" w:type="dxa"/>
            <w:vMerge w:val="restart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其中</w:t>
            </w:r>
          </w:p>
        </w:tc>
        <w:tc>
          <w:tcPr>
            <w:tcW w:w="589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海洋伏季休渔专项行动</w:t>
            </w:r>
          </w:p>
        </w:tc>
        <w:tc>
          <w:tcPr>
            <w:tcW w:w="123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694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8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9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内陆水域禁渔专项行动</w:t>
            </w:r>
          </w:p>
        </w:tc>
        <w:tc>
          <w:tcPr>
            <w:tcW w:w="123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694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8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9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严厉打击破坏水生野生动物资源行为专项行动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694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8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9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清理取缔涉渔“三无”船舶和“绝户网”专项行动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694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8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9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重拳打击电鱼专项行动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694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8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9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涉渔船舶审批修造检验监管专项行动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694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8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9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规范使用水产养殖用投入品专项行动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694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8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9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涉外渔业专项行动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694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8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9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渔业安全生产源头治理专项行动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694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8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9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渔港渔船水污染防治检查行动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  <w:jc w:val="center"/>
        </w:trPr>
        <w:tc>
          <w:tcPr>
            <w:tcW w:w="694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598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*查处跨区作业船舶（艘）</w:t>
            </w:r>
          </w:p>
        </w:tc>
        <w:tc>
          <w:tcPr>
            <w:tcW w:w="123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exact"/>
          <w:jc w:val="center"/>
        </w:trPr>
        <w:tc>
          <w:tcPr>
            <w:tcW w:w="694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598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*涉案渔获物重量（公斤）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其中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海洋伏季休渔专项行动（以下根据实际情况填写）</w:t>
            </w:r>
          </w:p>
        </w:tc>
        <w:tc>
          <w:tcPr>
            <w:tcW w:w="123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694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598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*涉案渔获物价值（万元）</w:t>
            </w:r>
          </w:p>
        </w:tc>
        <w:tc>
          <w:tcPr>
            <w:tcW w:w="123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exact"/>
          <w:jc w:val="center"/>
        </w:trPr>
        <w:tc>
          <w:tcPr>
            <w:tcW w:w="694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598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*收缴电鱼器具（台、套）</w:t>
            </w:r>
          </w:p>
        </w:tc>
        <w:tc>
          <w:tcPr>
            <w:tcW w:w="123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  <w:jc w:val="center"/>
        </w:trPr>
        <w:tc>
          <w:tcPr>
            <w:tcW w:w="694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598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*查处水产养殖非法投入品重量（公斤）</w:t>
            </w:r>
          </w:p>
        </w:tc>
        <w:tc>
          <w:tcPr>
            <w:tcW w:w="123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exact"/>
          <w:jc w:val="center"/>
        </w:trPr>
        <w:tc>
          <w:tcPr>
            <w:tcW w:w="694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598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*查处非法水生野生动物及其制品（只或公斤）</w:t>
            </w:r>
          </w:p>
        </w:tc>
        <w:tc>
          <w:tcPr>
            <w:tcW w:w="123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  <w:jc w:val="center"/>
        </w:trPr>
        <w:tc>
          <w:tcPr>
            <w:tcW w:w="694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598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*行政处罚金额（万元）</w:t>
            </w:r>
          </w:p>
        </w:tc>
        <w:tc>
          <w:tcPr>
            <w:tcW w:w="123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  <w:jc w:val="center"/>
        </w:trPr>
        <w:tc>
          <w:tcPr>
            <w:tcW w:w="694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8" w:type="dxa"/>
            <w:vMerge w:val="restart"/>
            <w:noWrap w:val="0"/>
            <w:vAlign w:val="top"/>
          </w:tcPr>
          <w:p>
            <w:p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</w:t>
            </w:r>
          </w:p>
        </w:tc>
        <w:tc>
          <w:tcPr>
            <w:tcW w:w="589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海洋伏季休渔专项行动</w:t>
            </w:r>
          </w:p>
        </w:tc>
        <w:tc>
          <w:tcPr>
            <w:tcW w:w="123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  <w:jc w:val="center"/>
        </w:trPr>
        <w:tc>
          <w:tcPr>
            <w:tcW w:w="694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8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89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内陆水域禁渔专项行动</w:t>
            </w:r>
          </w:p>
        </w:tc>
        <w:tc>
          <w:tcPr>
            <w:tcW w:w="123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  <w:jc w:val="center"/>
        </w:trPr>
        <w:tc>
          <w:tcPr>
            <w:tcW w:w="694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8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9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严厉打击破坏水生野生动物资源行为专项行动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  <w:jc w:val="center"/>
        </w:trPr>
        <w:tc>
          <w:tcPr>
            <w:tcW w:w="694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8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9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清理取缔涉渔“三无”船舶和“绝户网”专项行动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  <w:jc w:val="center"/>
        </w:trPr>
        <w:tc>
          <w:tcPr>
            <w:tcW w:w="694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8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9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重拳打击电鱼专项行动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  <w:jc w:val="center"/>
        </w:trPr>
        <w:tc>
          <w:tcPr>
            <w:tcW w:w="694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8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9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涉渔船舶审批修造检验监管专项行动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  <w:jc w:val="center"/>
        </w:trPr>
        <w:tc>
          <w:tcPr>
            <w:tcW w:w="694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8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9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规范使用水产养殖用投入品专项行动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  <w:jc w:val="center"/>
        </w:trPr>
        <w:tc>
          <w:tcPr>
            <w:tcW w:w="694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8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9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涉外渔业专项行动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  <w:jc w:val="center"/>
        </w:trPr>
        <w:tc>
          <w:tcPr>
            <w:tcW w:w="694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8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9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渔业安全生产源头治理专项行动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  <w:jc w:val="center"/>
        </w:trPr>
        <w:tc>
          <w:tcPr>
            <w:tcW w:w="694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8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9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渔港渔船水污染防治检查行动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spacing w:line="240" w:lineRule="auto"/>
        <w:ind w:left="0" w:leftChars="0" w:firstLine="0" w:firstLineChars="0"/>
        <w:rPr>
          <w:rFonts w:hint="default" w:ascii="仿宋_GB2312" w:hAnsi="宋体" w:eastAsia="仿宋_GB2312" w:cs="宋体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sz w:val="21"/>
          <w:szCs w:val="21"/>
          <w:u w:val="none"/>
          <w:lang w:val="en-US" w:eastAsia="zh-CN"/>
        </w:rPr>
        <w:t>注：行动未涉及的地方，不填写该栏目，特殊数据可备注。</w:t>
      </w:r>
    </w:p>
    <w:p>
      <w:pPr>
        <w:keepNext w:val="0"/>
        <w:keepLines w:val="0"/>
        <w:widowControl/>
        <w:suppressLineNumbers w:val="0"/>
        <w:tabs>
          <w:tab w:val="center" w:pos="3989"/>
        </w:tabs>
        <w:spacing w:before="0" w:beforeAutospacing="0" w:after="0" w:afterAutospacing="0" w:line="256" w:lineRule="auto"/>
        <w:ind w:left="-15" w:right="0" w:firstLine="0"/>
        <w:jc w:val="left"/>
        <w:rPr>
          <w:rFonts w:hint="eastAsia" w:ascii="微软雅黑" w:hAnsi="微软雅黑" w:eastAsia="微软雅黑" w:cs="微软雅黑"/>
          <w:color w:val="auto"/>
          <w:kern w:val="2"/>
          <w:sz w:val="22"/>
          <w:szCs w:val="22"/>
          <w:lang w:val="en-US" w:eastAsia="zh-CN" w:bidi="ar"/>
        </w:rPr>
      </w:pPr>
    </w:p>
    <w:p>
      <w:pPr>
        <w:pStyle w:val="3"/>
        <w:widowControl w:val="0"/>
        <w:shd w:val="clear" w:color="auto" w:fill="auto"/>
        <w:adjustRightInd w:val="0"/>
        <w:snapToGrid w:val="0"/>
        <w:spacing w:before="0" w:beforeAutospacing="0" w:after="0" w:afterAutospacing="0" w:line="240" w:lineRule="auto"/>
        <w:ind w:firstLine="420" w:firstLineChars="200"/>
        <w:jc w:val="both"/>
        <w:rPr>
          <w:rFonts w:hint="eastAsia" w:ascii="Calibri" w:hAnsi="Calibri" w:eastAsia="宋体" w:cs="Times New Roman"/>
          <w:b w:val="0"/>
          <w:bCs w:val="0"/>
          <w:kern w:val="2"/>
          <w:sz w:val="21"/>
          <w:szCs w:val="24"/>
          <w:lang w:val="en-US" w:eastAsia="zh-CN" w:bidi="ar-SA"/>
        </w:rPr>
      </w:pPr>
    </w:p>
    <w:p>
      <w:pPr>
        <w:pStyle w:val="3"/>
        <w:widowControl w:val="0"/>
        <w:shd w:val="clear" w:color="auto" w:fill="auto"/>
        <w:adjustRightInd w:val="0"/>
        <w:snapToGrid w:val="0"/>
        <w:spacing w:before="0" w:beforeAutospacing="0" w:after="0" w:afterAutospacing="0" w:line="240" w:lineRule="auto"/>
        <w:ind w:firstLine="420" w:firstLineChars="200"/>
        <w:jc w:val="both"/>
        <w:rPr>
          <w:rFonts w:hint="eastAsia" w:ascii="Calibri" w:hAnsi="Calibri" w:eastAsia="宋体" w:cs="Times New Roman"/>
          <w:b w:val="0"/>
          <w:bCs w:val="0"/>
          <w:kern w:val="2"/>
          <w:sz w:val="21"/>
          <w:szCs w:val="24"/>
          <w:lang w:val="en-US" w:eastAsia="zh-CN" w:bidi="ar-SA"/>
        </w:rPr>
      </w:pPr>
    </w:p>
    <w:p>
      <w:pPr>
        <w:pStyle w:val="3"/>
        <w:widowControl w:val="0"/>
        <w:shd w:val="clear" w:color="auto" w:fill="auto"/>
        <w:adjustRightInd w:val="0"/>
        <w:snapToGrid w:val="0"/>
        <w:spacing w:before="0" w:beforeAutospacing="0" w:after="0" w:afterAutospacing="0" w:line="240" w:lineRule="auto"/>
        <w:ind w:firstLine="420" w:firstLineChars="200"/>
        <w:jc w:val="both"/>
        <w:rPr>
          <w:rFonts w:hint="default" w:ascii="Calibri" w:hAnsi="Calibri" w:eastAsia="宋体" w:cs="Times New Roman"/>
          <w:b w:val="0"/>
          <w:bCs w:val="0"/>
          <w:kern w:val="2"/>
          <w:sz w:val="21"/>
          <w:szCs w:val="24"/>
          <w:lang w:val="en-US" w:eastAsia="zh-CN" w:bidi="ar-SA"/>
        </w:rPr>
      </w:pPr>
    </w:p>
    <w:p>
      <w:pPr>
        <w:pStyle w:val="3"/>
        <w:widowControl w:val="0"/>
        <w:numPr>
          <w:ilvl w:val="0"/>
          <w:numId w:val="0"/>
        </w:numPr>
        <w:shd w:val="clear" w:color="auto" w:fill="auto"/>
        <w:adjustRightInd w:val="0"/>
        <w:snapToGrid w:val="0"/>
        <w:spacing w:before="0" w:beforeAutospacing="0" w:after="0" w:afterAutospacing="0" w:line="240" w:lineRule="auto"/>
        <w:ind w:firstLine="420"/>
        <w:jc w:val="both"/>
        <w:rPr>
          <w:rFonts w:hint="default" w:cs="Times New Roman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ind w:firstLine="420"/>
        <w:rPr>
          <w:rFonts w:hint="default" w:cs="Times New Roman"/>
          <w:kern w:val="2"/>
          <w:sz w:val="21"/>
          <w:szCs w:val="24"/>
          <w:lang w:val="en-US" w:eastAsia="zh-CN" w:bidi="ar-SA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519" w:bottom="1440" w:left="1519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微软雅黑">
    <w:altName w:val="方正黑体_GBK"/>
    <w:panose1 w:val="020B0503020204020204"/>
    <w:charset w:val="00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s0lY7tAAAAAFAQAADwAAAAAAAAABACAAAAA4AAAAZHJzL2Rvd25yZXYueG1sUEsB&#10;AhQAFAAAAAgAh07iQGUktTAgAgAANwQAAA4AAAAAAAAAAQAgAAAANQEAAGRycy9lMm9Eb2MueG1s&#10;UEsFBgAAAAAGAAYAWQEAAMc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9EE"/>
    <w:rsid w:val="001A22AB"/>
    <w:rsid w:val="001A4E8C"/>
    <w:rsid w:val="00AA2125"/>
    <w:rsid w:val="00C859EE"/>
    <w:rsid w:val="BF7B9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bCs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样式1"/>
    <w:basedOn w:val="1"/>
    <w:link w:val="8"/>
    <w:qFormat/>
    <w:uiPriority w:val="0"/>
    <w:rPr>
      <w:b/>
      <w:color w:val="548235" w:themeColor="accent6" w:themeShade="BF"/>
      <w:sz w:val="28"/>
    </w:rPr>
  </w:style>
  <w:style w:type="character" w:customStyle="1" w:styleId="8">
    <w:name w:val="样式1 Char"/>
    <w:basedOn w:val="6"/>
    <w:link w:val="7"/>
    <w:qFormat/>
    <w:uiPriority w:val="0"/>
    <w:rPr>
      <w:b/>
      <w:color w:val="548235" w:themeColor="accent6" w:themeShade="BF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2020-05-08T14:11:00Z</dcterms:created>
  <dc:creator>User274</dc:creator>
  <cp:lastModifiedBy>gxxc</cp:lastModifiedBy>
  <dcterms:modified xsi:type="dcterms:W3CDTF">2023-06-08T16:55:55Z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