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default" w:ascii="黑体" w:hAnsi="黑体" w:eastAsia="黑体" w:cs="方正黑体_GBK"/>
          <w:lang w:val="en"/>
        </w:rPr>
      </w:pPr>
      <w:r>
        <w:rPr>
          <w:rFonts w:hint="eastAsia" w:ascii="黑体" w:hAnsi="黑体" w:eastAsia="黑体" w:cs="方正黑体_GBK"/>
        </w:rPr>
        <w:t>附件</w:t>
      </w:r>
    </w:p>
    <w:p>
      <w:pPr>
        <w:spacing w:line="7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农村集体资产监管提质增效行动整改台账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70" w:type="dxa"/>
          <w:left w:w="108" w:type="dxa"/>
          <w:bottom w:w="70" w:type="dxa"/>
          <w:right w:w="108" w:type="dxa"/>
        </w:tblCellMar>
      </w:tblPr>
      <w:tblGrid>
        <w:gridCol w:w="7362"/>
        <w:gridCol w:w="679"/>
        <w:gridCol w:w="907"/>
        <w:gridCol w:w="907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指标名称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代码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计量单位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应整改台账数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已整改台账数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  <w:t>1.在农业农村部门登记赋码的村集体经济组织未规范挂牌数量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个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  <w:t>2.新增资源资产纳入账内（台账）管理数量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—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 xml:space="preserve">    其中：（1）资产金额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万元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 xml:space="preserve">          （2）资源面积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亩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  <w:t>3.农村集体经济不规范合同数量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份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 xml:space="preserve">    其中：（1）明显违背合同法的超长期合同数量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份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 xml:space="preserve">          （2）超低价合同数量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份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 xml:space="preserve">          （3）未经民主程序 暗箱操作的合同数量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份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 xml:space="preserve">          （4）未按时收到价款的合同数量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份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 xml:space="preserve">          （5）未签订书面合同的数量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份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  <w:t>4.财务公开不及时、内容不完整、流于形式的村级数量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个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  <w:t>5.财务收支管理混乱涉及的金额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万元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 xml:space="preserve">    其中：（1）私设小金库、公款私存涉及金额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万元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 xml:space="preserve">          （2）虚假列支、多报少支金额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万元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 xml:space="preserve">          （3）以白条入账、无票据入账、抵顶发票入账等支出不规范涉及金额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万元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 xml:space="preserve">          （4）违规发放各项补贴涉及金额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万元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  <w:t>6.1.举债兴办公益事业形成的债务金额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万元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  <w:t>6.2.对吃喝招待、请客送礼、滥发补助等非生产性开支形成的债务金额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万元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  <w:t>7.村级债务化解涉及的金额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万元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  <w:t>8.1.违规招投标涉及的工程项目数量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—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 xml:space="preserve">    其中：（1）工程项目数量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个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 xml:space="preserve">          （2）工程项目涉及的金额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万元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  <w:t>8.2.管理混乱的工程项目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—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 xml:space="preserve">    其中：（1）工程项目数量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个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 xml:space="preserve">          （2）工程项目涉及的金额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万元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  <w:t>8.3.利用工程项目套取资金、收受贿赂、违规承揽和转包本村工程的村干部数量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个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  <w:t>9.审计发现问题后限期内未进行整改或整改不到位的问题数量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件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  <w:t>10.移交纪检监察部门的案件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—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 xml:space="preserve">    其中：（1）案件数量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件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 xml:space="preserve">          （2）案件涉及的金额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万元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</w:tbl>
    <w:p/>
    <w:p/>
    <w:p>
      <w:bookmarkStart w:id="0" w:name="_GoBack"/>
      <w:bookmarkEnd w:id="0"/>
    </w:p>
    <w:sectPr>
      <w:pgSz w:w="11906" w:h="16838"/>
      <w:pgMar w:top="567" w:right="567" w:bottom="567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7D749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1"/>
    <w:link w:val="6"/>
    <w:qFormat/>
    <w:uiPriority w:val="0"/>
    <w:rPr>
      <w:b/>
      <w:color w:val="548235" w:themeColor="accent6" w:themeShade="BF"/>
      <w:sz w:val="28"/>
    </w:rPr>
  </w:style>
  <w:style w:type="character" w:customStyle="1" w:styleId="6">
    <w:name w:val="样式1 Char"/>
    <w:basedOn w:val="4"/>
    <w:link w:val="5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gxxc</cp:lastModifiedBy>
  <dcterms:modified xsi:type="dcterms:W3CDTF">2023-06-08T16:58:40Z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