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2023年广西水产品质量安全</w:t>
      </w:r>
    </w:p>
    <w:p>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监督抽查实施方案</w:t>
      </w:r>
    </w:p>
    <w:p>
      <w:pPr>
        <w:adjustRightInd w:val="0"/>
        <w:snapToGrid w:val="0"/>
        <w:spacing w:line="600" w:lineRule="exact"/>
        <w:rPr>
          <w:rFonts w:eastAsia="仿宋_GB2312"/>
          <w:color w:val="000000"/>
          <w:sz w:val="32"/>
          <w:szCs w:val="32"/>
        </w:rPr>
      </w:pP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根据《农产品质量安全法》《农产品质量安全监测管理办法》《兽药管理条例》等的相关规定，为严厉打击违法违规行为，进一步强化农产品质量安全执法监管，落实“四个最严”要求，保障水产品质量安全，根据我区水产养殖业生产实际，制定本方案。</w:t>
      </w:r>
    </w:p>
    <w:p>
      <w:pPr>
        <w:tabs>
          <w:tab w:val="left" w:pos="900"/>
        </w:tabs>
        <w:spacing w:line="600" w:lineRule="exact"/>
        <w:ind w:firstLine="640" w:firstLineChars="200"/>
        <w:rPr>
          <w:rFonts w:eastAsia="黑体"/>
          <w:bCs/>
          <w:color w:val="000000"/>
          <w:sz w:val="32"/>
          <w:szCs w:val="32"/>
        </w:rPr>
      </w:pPr>
      <w:r>
        <w:rPr>
          <w:rFonts w:eastAsia="黑体"/>
          <w:bCs/>
          <w:color w:val="000000"/>
          <w:sz w:val="32"/>
          <w:szCs w:val="32"/>
        </w:rPr>
        <w:t>一、工作任务</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监督抽查水产品1200 批次</w:t>
      </w:r>
      <w:r>
        <w:rPr>
          <w:rFonts w:hint="eastAsia" w:eastAsia="仿宋_GB2312"/>
          <w:color w:val="000000"/>
          <w:sz w:val="32"/>
          <w:szCs w:val="32"/>
        </w:rPr>
        <w:t>，其中</w:t>
      </w:r>
      <w:r>
        <w:rPr>
          <w:rFonts w:eastAsia="仿宋_GB2312"/>
          <w:color w:val="000000"/>
          <w:sz w:val="32"/>
          <w:szCs w:val="32"/>
        </w:rPr>
        <w:t>水产成品1000 批次</w:t>
      </w:r>
      <w:r>
        <w:rPr>
          <w:rFonts w:hint="eastAsia" w:eastAsia="仿宋_GB2312"/>
          <w:color w:val="000000"/>
          <w:sz w:val="32"/>
          <w:szCs w:val="32"/>
        </w:rPr>
        <w:t>，水产</w:t>
      </w:r>
      <w:r>
        <w:rPr>
          <w:rFonts w:eastAsia="仿宋_GB2312"/>
          <w:color w:val="000000"/>
          <w:sz w:val="32"/>
          <w:szCs w:val="32"/>
        </w:rPr>
        <w:t>苗种</w:t>
      </w:r>
      <w:r>
        <w:rPr>
          <w:rFonts w:hint="eastAsia" w:eastAsia="仿宋_GB2312"/>
          <w:color w:val="000000"/>
          <w:sz w:val="32"/>
          <w:szCs w:val="32"/>
        </w:rPr>
        <w:t>2</w:t>
      </w:r>
      <w:r>
        <w:rPr>
          <w:rFonts w:eastAsia="仿宋_GB2312"/>
          <w:color w:val="000000"/>
          <w:sz w:val="32"/>
          <w:szCs w:val="32"/>
        </w:rPr>
        <w:t>00</w:t>
      </w:r>
      <w:r>
        <w:rPr>
          <w:rFonts w:hint="eastAsia" w:eastAsia="仿宋_GB2312"/>
          <w:color w:val="000000"/>
          <w:sz w:val="32"/>
          <w:szCs w:val="32"/>
        </w:rPr>
        <w:t>批</w:t>
      </w:r>
      <w:r>
        <w:rPr>
          <w:rFonts w:eastAsia="仿宋_GB2312"/>
          <w:color w:val="000000"/>
          <w:sz w:val="32"/>
          <w:szCs w:val="32"/>
        </w:rPr>
        <w:t>次。具体抽样任务的分配、样品种类及抽样数量、检测项目、抽送样时限等要求详见附件1。</w:t>
      </w:r>
    </w:p>
    <w:p>
      <w:pPr>
        <w:tabs>
          <w:tab w:val="left" w:pos="900"/>
        </w:tabs>
        <w:spacing w:line="600" w:lineRule="exact"/>
        <w:ind w:firstLine="640" w:firstLineChars="200"/>
        <w:rPr>
          <w:rFonts w:eastAsia="黑体"/>
          <w:bCs/>
          <w:color w:val="000000"/>
          <w:sz w:val="32"/>
          <w:szCs w:val="32"/>
        </w:rPr>
      </w:pPr>
      <w:r>
        <w:rPr>
          <w:rFonts w:eastAsia="黑体"/>
          <w:bCs/>
          <w:color w:val="000000"/>
          <w:sz w:val="32"/>
          <w:szCs w:val="32"/>
        </w:rPr>
        <w:t>二、抽查重点</w:t>
      </w:r>
    </w:p>
    <w:p>
      <w:pPr>
        <w:adjustRightInd w:val="0"/>
        <w:snapToGrid w:val="0"/>
        <w:spacing w:line="600" w:lineRule="exact"/>
        <w:ind w:firstLine="640" w:firstLineChars="200"/>
        <w:rPr>
          <w:rFonts w:eastAsia="楷体_GB2312"/>
          <w:color w:val="000000"/>
          <w:sz w:val="32"/>
          <w:szCs w:val="32"/>
        </w:rPr>
      </w:pPr>
      <w:r>
        <w:rPr>
          <w:rFonts w:eastAsia="楷体_GB2312"/>
          <w:color w:val="000000"/>
          <w:sz w:val="32"/>
          <w:szCs w:val="32"/>
        </w:rPr>
        <w:t>（一）重点产品</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成品：大口黑鲈、乌鳢、鳊鱼、对虾、罗非鱼、草鱼、鲤鱼、斑点叉尾鮰、卵形鲳鲹等本地养殖的优势品种和特色品种（鲢、鳙不列入抽样范围）。</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2.苗种：大口黑鲈、乌鳢、鳊鱼、对虾、罗非鱼、青鱼、草鱼、鲢、鳙、鲤鱼、鲮鱼、斑点叉尾鮰等本地养殖的优势品种和特色品种。</w:t>
      </w:r>
    </w:p>
    <w:p>
      <w:pPr>
        <w:adjustRightInd w:val="0"/>
        <w:snapToGrid w:val="0"/>
        <w:spacing w:line="600" w:lineRule="exact"/>
        <w:ind w:firstLine="640" w:firstLineChars="200"/>
        <w:rPr>
          <w:rFonts w:eastAsia="楷体_GB2312"/>
          <w:color w:val="000000"/>
          <w:sz w:val="32"/>
          <w:szCs w:val="32"/>
        </w:rPr>
      </w:pPr>
      <w:r>
        <w:rPr>
          <w:rFonts w:eastAsia="楷体_GB2312"/>
          <w:color w:val="000000"/>
          <w:sz w:val="32"/>
          <w:szCs w:val="32"/>
        </w:rPr>
        <w:t>（二）重点项目</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1.成品，检测项目为氯霉素、孔雀石绿（海水品种不检）、硝基呋喃类代谢物、洛美沙星、培氟沙星、诺氟沙星、氧氟沙星。</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2.苗种，检测项目为氯霉素、孔雀石绿（海水品种不检）、硝基呋喃类代谢物。</w:t>
      </w:r>
    </w:p>
    <w:p>
      <w:pPr>
        <w:adjustRightInd w:val="0"/>
        <w:snapToGrid w:val="0"/>
        <w:spacing w:line="600" w:lineRule="exact"/>
        <w:ind w:firstLine="640" w:firstLineChars="200"/>
        <w:rPr>
          <w:rFonts w:eastAsia="楷体_GB2312"/>
          <w:color w:val="000000"/>
          <w:sz w:val="32"/>
          <w:szCs w:val="32"/>
        </w:rPr>
      </w:pPr>
      <w:r>
        <w:rPr>
          <w:rFonts w:eastAsia="楷体_GB2312"/>
          <w:color w:val="000000"/>
          <w:sz w:val="32"/>
          <w:szCs w:val="32"/>
        </w:rPr>
        <w:t>（三）重点对象</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成品，辖区所有无公害水产养殖基地、水产健康养殖示范场、出口水产品养殖备案基地、地理标志产品登记产地等，尽可能涵盖辖区内不同的养殖场，使辖区内养殖场轮流抽检。2022年检出不合格样品的养殖场为必抽</w:t>
      </w:r>
      <w:r>
        <w:rPr>
          <w:rFonts w:hint="eastAsia" w:eastAsia="仿宋_GB2312"/>
          <w:color w:val="000000"/>
          <w:sz w:val="32"/>
          <w:szCs w:val="32"/>
        </w:rPr>
        <w:t>对象</w:t>
      </w:r>
      <w:r>
        <w:rPr>
          <w:rFonts w:eastAsia="仿宋_GB2312"/>
          <w:color w:val="000000"/>
          <w:sz w:val="32"/>
          <w:szCs w:val="32"/>
        </w:rPr>
        <w:t>。</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2.苗种，样品只能抽取持苗种生产许可证企业，要求轮流抽检辖区内获证企业。辖区持证苗种生产企业较多的市，采取分年度轮流方式抽检，在水产苗种许可证有效期内确保对获证企业至少抽检1次。自治区级水产良种场和2022年检出不合格样品的苗种场为必</w:t>
      </w:r>
      <w:r>
        <w:rPr>
          <w:rFonts w:hint="eastAsia" w:eastAsia="仿宋_GB2312"/>
          <w:color w:val="000000"/>
          <w:sz w:val="32"/>
          <w:szCs w:val="32"/>
        </w:rPr>
        <w:t>抽对象</w:t>
      </w:r>
      <w:r>
        <w:rPr>
          <w:rFonts w:eastAsia="仿宋_GB2312"/>
          <w:color w:val="000000"/>
          <w:sz w:val="32"/>
          <w:szCs w:val="32"/>
        </w:rPr>
        <w:t>。</w:t>
      </w:r>
    </w:p>
    <w:p>
      <w:pPr>
        <w:tabs>
          <w:tab w:val="left" w:pos="900"/>
        </w:tabs>
        <w:spacing w:line="600" w:lineRule="exact"/>
        <w:ind w:firstLine="640" w:firstLineChars="200"/>
        <w:rPr>
          <w:rFonts w:eastAsia="黑体"/>
          <w:bCs/>
          <w:color w:val="000000"/>
          <w:sz w:val="32"/>
          <w:szCs w:val="32"/>
        </w:rPr>
      </w:pPr>
      <w:r>
        <w:rPr>
          <w:rFonts w:eastAsia="黑体"/>
          <w:bCs/>
          <w:color w:val="000000"/>
          <w:sz w:val="32"/>
          <w:szCs w:val="32"/>
        </w:rPr>
        <w:t>三、组织实施与分工</w:t>
      </w:r>
    </w:p>
    <w:p>
      <w:pPr>
        <w:tabs>
          <w:tab w:val="left" w:pos="900"/>
        </w:tabs>
        <w:spacing w:line="600" w:lineRule="exact"/>
        <w:ind w:firstLine="640" w:firstLineChars="200"/>
        <w:rPr>
          <w:rFonts w:eastAsia="仿宋_GB2312"/>
          <w:color w:val="000000"/>
          <w:sz w:val="32"/>
          <w:szCs w:val="32"/>
        </w:rPr>
      </w:pPr>
      <w:r>
        <w:rPr>
          <w:rFonts w:eastAsia="仿宋_GB2312"/>
          <w:color w:val="000000"/>
          <w:sz w:val="32"/>
          <w:szCs w:val="32"/>
        </w:rPr>
        <w:t>自治区级水产品质量安全监督抽查工作由自治区农业农村厅统一部署，统一下达任务、经费和组织实施，具体实施单位为自治区渔业病害防治环境监测和质量检验中心，各市、县（市、区）局，以及指定的抽样机构等。水产品抽样、送样、不合格样品的查处工作由各市农业</w:t>
      </w:r>
      <w:r>
        <w:rPr>
          <w:rFonts w:hint="eastAsia" w:eastAsia="仿宋_GB2312"/>
          <w:color w:val="000000"/>
          <w:sz w:val="32"/>
          <w:szCs w:val="32"/>
        </w:rPr>
        <w:t>综合行政执法机构（北海、防城港、钦州市渔业执法机构）</w:t>
      </w:r>
      <w:r>
        <w:rPr>
          <w:rFonts w:eastAsia="仿宋_GB2312"/>
          <w:color w:val="000000"/>
          <w:sz w:val="32"/>
          <w:szCs w:val="32"/>
        </w:rPr>
        <w:t>承担。</w:t>
      </w:r>
    </w:p>
    <w:p>
      <w:pPr>
        <w:widowControl/>
        <w:spacing w:line="600" w:lineRule="exact"/>
        <w:ind w:firstLine="640" w:firstLineChars="200"/>
        <w:rPr>
          <w:rFonts w:eastAsia="仿宋_GB2312"/>
          <w:color w:val="000000"/>
          <w:sz w:val="32"/>
          <w:szCs w:val="32"/>
        </w:rPr>
      </w:pPr>
      <w:r>
        <w:rPr>
          <w:rFonts w:eastAsia="仿宋_GB2312"/>
          <w:color w:val="000000"/>
          <w:sz w:val="32"/>
          <w:szCs w:val="32"/>
        </w:rPr>
        <w:t>自治区渔业病害防治环境监测和质量检验中心负责对各市抽检水产品的检测、汇总分析、结果上报，以及抽样、送样工作的协调、指导。各市请于2023年3月15日前填写附件7发送至自治区农业农村厅农业综合行政执法局（电子邮箱：</w:t>
      </w:r>
      <w:r>
        <w:rPr>
          <w:rFonts w:eastAsia="仿宋_GB2312"/>
          <w:color w:val="000000"/>
          <w:sz w:val="32"/>
          <w:szCs w:val="32"/>
        </w:rPr>
        <w:fldChar w:fldCharType="begin"/>
      </w:r>
      <w:r>
        <w:rPr>
          <w:rFonts w:eastAsia="仿宋_GB2312"/>
          <w:color w:val="000000"/>
          <w:sz w:val="32"/>
          <w:szCs w:val="32"/>
        </w:rPr>
        <w:instrText xml:space="preserve"> HYPERLINK "mailto:gxnyzfj@163.com）t" </w:instrText>
      </w:r>
      <w:r>
        <w:rPr>
          <w:rFonts w:eastAsia="仿宋_GB2312"/>
          <w:color w:val="000000"/>
          <w:sz w:val="32"/>
          <w:szCs w:val="32"/>
        </w:rPr>
        <w:fldChar w:fldCharType="separate"/>
      </w:r>
      <w:r>
        <w:rPr>
          <w:rFonts w:eastAsia="仿宋_GB2312"/>
          <w:color w:val="000000"/>
          <w:sz w:val="32"/>
          <w:szCs w:val="32"/>
        </w:rPr>
        <w:t>gxnyzfj@163.com）</w:t>
      </w:r>
      <w:r>
        <w:rPr>
          <w:rFonts w:eastAsia="仿宋_GB2312"/>
          <w:color w:val="000000"/>
          <w:sz w:val="32"/>
          <w:szCs w:val="32"/>
        </w:rPr>
        <w:fldChar w:fldCharType="end"/>
      </w:r>
      <w:r>
        <w:rPr>
          <w:rFonts w:eastAsia="仿宋_GB2312"/>
          <w:color w:val="000000"/>
          <w:sz w:val="32"/>
          <w:szCs w:val="32"/>
        </w:rPr>
        <w:t>、自治区渔业病害防治环境监测和质量检验中心（电子邮箱：</w:t>
      </w:r>
      <w:r>
        <w:rPr>
          <w:rFonts w:eastAsia="仿宋_GB2312"/>
          <w:color w:val="000000"/>
          <w:sz w:val="32"/>
          <w:szCs w:val="32"/>
        </w:rPr>
        <w:fldChar w:fldCharType="begin"/>
      </w:r>
      <w:r>
        <w:rPr>
          <w:rFonts w:eastAsia="仿宋_GB2312"/>
          <w:color w:val="000000"/>
          <w:sz w:val="32"/>
          <w:szCs w:val="32"/>
        </w:rPr>
        <w:instrText xml:space="preserve">HYPERLINK "mailto:gxfemc@163.com"</w:instrText>
      </w:r>
      <w:r>
        <w:rPr>
          <w:rFonts w:eastAsia="仿宋_GB2312"/>
          <w:color w:val="000000"/>
          <w:sz w:val="32"/>
          <w:szCs w:val="32"/>
        </w:rPr>
        <w:fldChar w:fldCharType="separate"/>
      </w:r>
      <w:r>
        <w:rPr>
          <w:rStyle w:val="6"/>
          <w:rFonts w:eastAsia="仿宋_GB2312"/>
          <w:color w:val="000000"/>
          <w:sz w:val="32"/>
          <w:szCs w:val="32"/>
          <w:u w:val="none"/>
        </w:rPr>
        <w:t>gxfemc@163.com</w:t>
      </w:r>
      <w:r>
        <w:rPr>
          <w:rFonts w:eastAsia="仿宋_GB2312"/>
          <w:color w:val="000000"/>
          <w:sz w:val="32"/>
          <w:szCs w:val="32"/>
        </w:rPr>
        <w:fldChar w:fldCharType="end"/>
      </w:r>
      <w:r>
        <w:rPr>
          <w:rFonts w:eastAsia="仿宋_GB2312"/>
          <w:color w:val="000000"/>
          <w:sz w:val="32"/>
          <w:szCs w:val="32"/>
        </w:rPr>
        <w:t>）。</w:t>
      </w:r>
    </w:p>
    <w:p>
      <w:pPr>
        <w:spacing w:line="600" w:lineRule="exact"/>
        <w:ind w:firstLine="640" w:firstLineChars="200"/>
        <w:rPr>
          <w:rFonts w:eastAsia="黑体"/>
          <w:bCs/>
          <w:color w:val="000000"/>
          <w:sz w:val="32"/>
          <w:szCs w:val="32"/>
        </w:rPr>
      </w:pPr>
      <w:r>
        <w:rPr>
          <w:rFonts w:eastAsia="黑体"/>
          <w:bCs/>
          <w:color w:val="000000"/>
          <w:sz w:val="32"/>
          <w:szCs w:val="32"/>
        </w:rPr>
        <w:t>四、抽样要求</w:t>
      </w:r>
    </w:p>
    <w:p>
      <w:pPr>
        <w:spacing w:line="600" w:lineRule="exact"/>
        <w:ind w:firstLine="640" w:firstLineChars="200"/>
        <w:rPr>
          <w:rFonts w:eastAsia="楷体_GB2312"/>
          <w:color w:val="000000"/>
          <w:sz w:val="32"/>
          <w:szCs w:val="32"/>
        </w:rPr>
      </w:pPr>
      <w:r>
        <w:rPr>
          <w:rFonts w:eastAsia="楷体_GB2312"/>
          <w:color w:val="000000"/>
          <w:sz w:val="32"/>
          <w:szCs w:val="32"/>
        </w:rPr>
        <w:t>（一）抽样方法</w:t>
      </w:r>
    </w:p>
    <w:p>
      <w:pPr>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抽样按《</w:t>
      </w:r>
      <w:r>
        <w:rPr>
          <w:rFonts w:eastAsia="仿宋_GB2312"/>
          <w:bCs/>
          <w:color w:val="000000"/>
          <w:sz w:val="32"/>
          <w:szCs w:val="32"/>
        </w:rPr>
        <w:t>水产品抽样规范》（GB/T 30891-2014）</w:t>
      </w:r>
      <w:r>
        <w:rPr>
          <w:rFonts w:eastAsia="仿宋_GB2312"/>
          <w:color w:val="000000"/>
          <w:sz w:val="32"/>
          <w:szCs w:val="32"/>
        </w:rPr>
        <w:t>）规定执行。每个品种样品取样400g（肉），等量分为2份，一份用于检测，一份留样。样品抽取后要及时送自治区渔业病害防治环境监测和质量检验中心检测。暂时不能送样的，应放在</w:t>
      </w:r>
      <w:r>
        <w:rPr>
          <w:rFonts w:hint="eastAsia" w:eastAsia="仿宋_GB2312"/>
          <w:color w:val="000000"/>
          <w:sz w:val="32"/>
          <w:szCs w:val="32"/>
        </w:rPr>
        <w:t>-</w:t>
      </w:r>
      <w:r>
        <w:rPr>
          <w:rFonts w:eastAsia="仿宋_GB2312"/>
          <w:color w:val="000000"/>
          <w:sz w:val="32"/>
          <w:szCs w:val="32"/>
        </w:rPr>
        <w:t>20</w:t>
      </w:r>
      <w:r>
        <w:rPr>
          <w:rFonts w:hint="eastAsia" w:ascii="宋体" w:hAnsi="宋体" w:cs="宋体"/>
          <w:color w:val="000000"/>
          <w:sz w:val="32"/>
          <w:szCs w:val="32"/>
        </w:rPr>
        <w:t>℃</w:t>
      </w:r>
      <w:r>
        <w:rPr>
          <w:rFonts w:eastAsia="仿宋_GB2312"/>
          <w:color w:val="000000"/>
          <w:sz w:val="32"/>
          <w:szCs w:val="32"/>
        </w:rPr>
        <w:t>以下（含</w:t>
      </w:r>
      <w:r>
        <w:rPr>
          <w:rFonts w:hint="eastAsia" w:eastAsia="仿宋_GB2312"/>
          <w:color w:val="000000"/>
          <w:sz w:val="32"/>
          <w:szCs w:val="32"/>
        </w:rPr>
        <w:t>-</w:t>
      </w:r>
      <w:r>
        <w:rPr>
          <w:rFonts w:eastAsia="仿宋_GB2312"/>
          <w:color w:val="000000"/>
          <w:sz w:val="32"/>
          <w:szCs w:val="32"/>
        </w:rPr>
        <w:t>20</w:t>
      </w:r>
      <w:r>
        <w:rPr>
          <w:rFonts w:hint="eastAsia" w:ascii="宋体" w:hAnsi="宋体" w:cs="宋体"/>
          <w:color w:val="000000"/>
          <w:sz w:val="32"/>
          <w:szCs w:val="32"/>
        </w:rPr>
        <w:t>℃</w:t>
      </w:r>
      <w:r>
        <w:rPr>
          <w:rFonts w:eastAsia="仿宋_GB2312"/>
          <w:color w:val="000000"/>
          <w:sz w:val="32"/>
          <w:szCs w:val="32"/>
        </w:rPr>
        <w:t>）冰柜中冷冻保存，并妥善保管。被抽检单位要求留样的，则每个品种等量抽取3份样品，每份样品不少于200g（肉），其中2份送自治区渔业病害防治环境监测和质量检验中心检测，另一份由被抽检单位保存。留给被检单位的样品，应书面要求其在冰柜、冰箱等设备中</w:t>
      </w:r>
      <w:r>
        <w:rPr>
          <w:rFonts w:hint="eastAsia" w:eastAsia="仿宋_GB2312"/>
          <w:color w:val="000000"/>
          <w:sz w:val="32"/>
          <w:szCs w:val="32"/>
        </w:rPr>
        <w:t>-</w:t>
      </w:r>
      <w:r>
        <w:rPr>
          <w:rFonts w:eastAsia="仿宋_GB2312"/>
          <w:color w:val="000000"/>
          <w:sz w:val="32"/>
          <w:szCs w:val="32"/>
        </w:rPr>
        <w:t>20</w:t>
      </w:r>
      <w:r>
        <w:rPr>
          <w:rFonts w:hint="eastAsia" w:ascii="宋体" w:hAnsi="宋体" w:cs="宋体"/>
          <w:color w:val="000000"/>
          <w:sz w:val="32"/>
          <w:szCs w:val="32"/>
        </w:rPr>
        <w:t>℃</w:t>
      </w:r>
      <w:r>
        <w:rPr>
          <w:rFonts w:eastAsia="仿宋_GB2312"/>
          <w:color w:val="000000"/>
          <w:sz w:val="32"/>
          <w:szCs w:val="32"/>
        </w:rPr>
        <w:t>以下（含</w:t>
      </w:r>
      <w:r>
        <w:rPr>
          <w:rFonts w:hint="eastAsia" w:eastAsia="仿宋_GB2312"/>
          <w:color w:val="000000"/>
          <w:sz w:val="32"/>
          <w:szCs w:val="32"/>
        </w:rPr>
        <w:t>-</w:t>
      </w:r>
      <w:r>
        <w:rPr>
          <w:rFonts w:eastAsia="仿宋_GB2312"/>
          <w:color w:val="000000"/>
          <w:sz w:val="32"/>
          <w:szCs w:val="32"/>
        </w:rPr>
        <w:t>20</w:t>
      </w:r>
      <w:r>
        <w:rPr>
          <w:rFonts w:hint="eastAsia" w:ascii="宋体" w:hAnsi="宋体" w:cs="宋体"/>
          <w:color w:val="000000"/>
          <w:sz w:val="32"/>
          <w:szCs w:val="32"/>
        </w:rPr>
        <w:t>℃</w:t>
      </w:r>
      <w:r>
        <w:rPr>
          <w:rFonts w:eastAsia="仿宋_GB2312"/>
          <w:color w:val="000000"/>
          <w:sz w:val="32"/>
          <w:szCs w:val="32"/>
        </w:rPr>
        <w:t>）冷冻保存。</w:t>
      </w:r>
    </w:p>
    <w:p>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eastAsia="仿宋_GB2312"/>
          <w:color w:val="000000"/>
          <w:spacing w:val="4"/>
          <w:sz w:val="32"/>
          <w:szCs w:val="32"/>
        </w:rPr>
        <w:t>按《水产苗种违禁药物抽检技术规范》（农业部1192号公告</w:t>
      </w:r>
      <w:r>
        <w:rPr>
          <w:rFonts w:eastAsia="仿宋_GB2312"/>
          <w:color w:val="000000"/>
          <w:sz w:val="32"/>
          <w:szCs w:val="32"/>
        </w:rPr>
        <w:t>-1-2009，见附件7）执行。应合理布设采样点，随机抽取样品，一个检验批次（指同一育苗场或养殖场内的同一品种、同期繁育、相同培育条件、同一来源的水产苗种，或同一暂养池中的水产苗种）抽取一个样品。</w:t>
      </w:r>
      <w:r>
        <w:rPr>
          <w:rFonts w:hint="eastAsia" w:eastAsia="仿宋_GB2312"/>
          <w:color w:val="000000"/>
          <w:sz w:val="32"/>
          <w:szCs w:val="32"/>
        </w:rPr>
        <w:t>苗</w:t>
      </w:r>
      <w:r>
        <w:rPr>
          <w:rFonts w:eastAsia="仿宋_GB2312"/>
          <w:color w:val="000000"/>
          <w:sz w:val="32"/>
          <w:szCs w:val="32"/>
        </w:rPr>
        <w:t>种根据品</w:t>
      </w:r>
      <w:r>
        <w:rPr>
          <w:rFonts w:hint="eastAsia" w:eastAsia="仿宋_GB2312"/>
          <w:color w:val="000000"/>
          <w:sz w:val="32"/>
          <w:szCs w:val="32"/>
        </w:rPr>
        <w:t>种、大小</w:t>
      </w:r>
      <w:r>
        <w:rPr>
          <w:rFonts w:eastAsia="仿宋_GB2312"/>
          <w:color w:val="000000"/>
          <w:sz w:val="32"/>
          <w:szCs w:val="32"/>
        </w:rPr>
        <w:t>不</w:t>
      </w:r>
      <w:r>
        <w:rPr>
          <w:rFonts w:hint="eastAsia" w:eastAsia="仿宋_GB2312"/>
          <w:color w:val="000000"/>
          <w:sz w:val="32"/>
          <w:szCs w:val="32"/>
        </w:rPr>
        <w:t>同，</w:t>
      </w:r>
      <w:r>
        <w:rPr>
          <w:rFonts w:eastAsia="仿宋_GB2312"/>
          <w:color w:val="000000"/>
          <w:sz w:val="32"/>
          <w:szCs w:val="32"/>
        </w:rPr>
        <w:t>按《水产苗种违禁药物抽检技术规范》</w:t>
      </w:r>
      <w:r>
        <w:rPr>
          <w:rFonts w:hint="eastAsia" w:eastAsia="仿宋_GB2312"/>
          <w:color w:val="000000"/>
          <w:sz w:val="32"/>
          <w:szCs w:val="32"/>
        </w:rPr>
        <w:t>采用</w:t>
      </w:r>
      <w:r>
        <w:rPr>
          <w:rFonts w:eastAsia="仿宋_GB2312"/>
          <w:color w:val="000000"/>
          <w:sz w:val="32"/>
          <w:szCs w:val="32"/>
        </w:rPr>
        <w:t>不同的</w:t>
      </w:r>
      <w:r>
        <w:rPr>
          <w:rFonts w:hint="eastAsia" w:eastAsia="仿宋_GB2312"/>
          <w:color w:val="000000"/>
          <w:sz w:val="32"/>
          <w:szCs w:val="32"/>
        </w:rPr>
        <w:t>制</w:t>
      </w:r>
      <w:r>
        <w:rPr>
          <w:rFonts w:eastAsia="仿宋_GB2312"/>
          <w:color w:val="000000"/>
          <w:sz w:val="32"/>
          <w:szCs w:val="32"/>
        </w:rPr>
        <w:t>样方法</w:t>
      </w:r>
      <w:r>
        <w:rPr>
          <w:rFonts w:hint="eastAsia" w:eastAsia="仿宋_GB2312"/>
          <w:color w:val="000000"/>
          <w:sz w:val="32"/>
          <w:szCs w:val="32"/>
        </w:rPr>
        <w:t>，制样</w:t>
      </w:r>
      <w:r>
        <w:rPr>
          <w:rFonts w:eastAsia="仿宋_GB2312"/>
          <w:color w:val="000000"/>
          <w:sz w:val="32"/>
          <w:szCs w:val="32"/>
        </w:rPr>
        <w:t>后的样</w:t>
      </w:r>
      <w:r>
        <w:rPr>
          <w:rFonts w:hint="eastAsia" w:eastAsia="仿宋_GB2312"/>
          <w:color w:val="000000"/>
          <w:sz w:val="32"/>
          <w:szCs w:val="32"/>
        </w:rPr>
        <w:t>品</w:t>
      </w:r>
      <w:r>
        <w:rPr>
          <w:rFonts w:eastAsia="仿宋_GB2312"/>
          <w:color w:val="000000"/>
          <w:sz w:val="32"/>
          <w:szCs w:val="32"/>
        </w:rPr>
        <w:t>不少于200g</w:t>
      </w:r>
      <w:r>
        <w:rPr>
          <w:rFonts w:hint="eastAsia" w:eastAsia="仿宋_GB2312"/>
          <w:color w:val="000000"/>
          <w:sz w:val="32"/>
          <w:szCs w:val="32"/>
        </w:rPr>
        <w:t>，均匀等量分为2份，一份用于检测，一份留样。样品抽取后，保持低</w:t>
      </w:r>
      <w:r>
        <w:rPr>
          <w:rFonts w:eastAsia="仿宋_GB2312"/>
          <w:color w:val="000000"/>
          <w:sz w:val="32"/>
          <w:szCs w:val="32"/>
        </w:rPr>
        <w:t>温</w:t>
      </w:r>
      <w:r>
        <w:rPr>
          <w:rFonts w:hint="eastAsia" w:eastAsia="仿宋_GB2312"/>
          <w:color w:val="000000"/>
          <w:sz w:val="32"/>
          <w:szCs w:val="32"/>
        </w:rPr>
        <w:t>状</w:t>
      </w:r>
      <w:r>
        <w:rPr>
          <w:rFonts w:eastAsia="仿宋_GB2312"/>
          <w:color w:val="000000"/>
          <w:sz w:val="32"/>
          <w:szCs w:val="32"/>
        </w:rPr>
        <w:t>态</w:t>
      </w:r>
      <w:r>
        <w:rPr>
          <w:rFonts w:hint="eastAsia" w:eastAsia="仿宋_GB2312"/>
          <w:color w:val="000000"/>
          <w:sz w:val="32"/>
          <w:szCs w:val="32"/>
        </w:rPr>
        <w:t>（0℃~10℃），当天2份送自治区渔业病害防治环境监测和质量检验中心；若当天不能送样的，要放在-20℃以下（含-20℃）冰柜中冷冻保存，并妥善保管。被抽检单位要求留样的，则每个品种等量抽取3份样品，每份样品</w:t>
      </w:r>
      <w:r>
        <w:rPr>
          <w:rFonts w:eastAsia="仿宋_GB2312"/>
          <w:color w:val="000000"/>
          <w:sz w:val="32"/>
          <w:szCs w:val="32"/>
        </w:rPr>
        <w:t>不少于100g</w:t>
      </w:r>
      <w:r>
        <w:rPr>
          <w:rFonts w:hint="eastAsia" w:eastAsia="仿宋_GB2312"/>
          <w:color w:val="000000"/>
          <w:sz w:val="32"/>
          <w:szCs w:val="32"/>
        </w:rPr>
        <w:t>，</w:t>
      </w:r>
      <w:r>
        <w:rPr>
          <w:rFonts w:hint="eastAsia" w:eastAsia="仿宋_GB2312"/>
          <w:color w:val="000000"/>
          <w:spacing w:val="-4"/>
          <w:sz w:val="32"/>
          <w:szCs w:val="32"/>
        </w:rPr>
        <w:t>其中2份送自治区渔业病害防治环境监测和质量检验中心，另1</w:t>
      </w:r>
      <w:r>
        <w:rPr>
          <w:rFonts w:hint="eastAsia" w:eastAsia="仿宋_GB2312"/>
          <w:color w:val="000000"/>
          <w:sz w:val="32"/>
          <w:szCs w:val="32"/>
        </w:rPr>
        <w:t>份由被抽检单位保存，留给被检单位的样品，应书面要求其在冰柜、冰箱等设备中-20℃以下（含-20℃）冷冻保存。</w:t>
      </w:r>
    </w:p>
    <w:p>
      <w:pPr>
        <w:spacing w:line="60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除非出现阳性结果，否则一年内不能在同一地点（养殖场）重复抽样。每个被抽检单位一次最多只能抽取不同塘（池/网箱）的2个样品。</w:t>
      </w:r>
    </w:p>
    <w:p>
      <w:pPr>
        <w:spacing w:line="600" w:lineRule="exact"/>
        <w:ind w:firstLine="640" w:firstLineChars="200"/>
        <w:rPr>
          <w:rFonts w:hint="eastAsia" w:eastAsia="楷体_GB2312"/>
          <w:color w:val="000000"/>
          <w:sz w:val="32"/>
          <w:szCs w:val="32"/>
        </w:rPr>
      </w:pPr>
      <w:r>
        <w:rPr>
          <w:rFonts w:hint="eastAsia" w:eastAsia="楷体_GB2312"/>
          <w:color w:val="000000"/>
          <w:sz w:val="32"/>
          <w:szCs w:val="32"/>
        </w:rPr>
        <w:t>（二）抽检原则</w:t>
      </w:r>
    </w:p>
    <w:p>
      <w:pPr>
        <w:spacing w:line="600" w:lineRule="exact"/>
        <w:ind w:firstLine="640" w:firstLineChars="200"/>
        <w:rPr>
          <w:rFonts w:eastAsia="仿宋_GB2312"/>
          <w:color w:val="000000"/>
          <w:sz w:val="32"/>
          <w:szCs w:val="32"/>
        </w:rPr>
      </w:pPr>
      <w:r>
        <w:rPr>
          <w:rFonts w:eastAsia="仿宋_GB2312"/>
          <w:color w:val="000000"/>
          <w:sz w:val="32"/>
          <w:szCs w:val="32"/>
        </w:rPr>
        <w:t>严格遵循抽样机构与检测机构相分离的原则。抽样人员应具备执法证件，且不得少于2人。根据抽样工作需要，可邀请具备相应资质的检测机构技术人员协助实施抽样和样品预处理等工作，及时、如实、完整填写抽样</w:t>
      </w:r>
      <w:r>
        <w:rPr>
          <w:rFonts w:hint="eastAsia" w:eastAsia="仿宋_GB2312"/>
          <w:color w:val="000000"/>
          <w:sz w:val="32"/>
          <w:szCs w:val="32"/>
        </w:rPr>
        <w:t>工作</w:t>
      </w:r>
      <w:r>
        <w:rPr>
          <w:rFonts w:eastAsia="仿宋_GB2312"/>
          <w:color w:val="000000"/>
          <w:sz w:val="32"/>
          <w:szCs w:val="32"/>
        </w:rPr>
        <w:t>单（手机APP小程序、纸质按检测单位当年下发的抽样单为准）。每次送样时均需填写送抽样、送样工作情况记录表（附件2）和送检水产样品信息汇总表（附件3），并与样品、抽样单一</w:t>
      </w:r>
      <w:r>
        <w:rPr>
          <w:rFonts w:hint="eastAsia" w:eastAsia="仿宋_GB2312"/>
          <w:color w:val="000000"/>
          <w:sz w:val="32"/>
          <w:szCs w:val="32"/>
        </w:rPr>
        <w:t>同</w:t>
      </w:r>
      <w:r>
        <w:rPr>
          <w:rFonts w:eastAsia="仿宋_GB2312"/>
          <w:color w:val="000000"/>
          <w:sz w:val="32"/>
          <w:szCs w:val="32"/>
        </w:rPr>
        <w:t>交</w:t>
      </w:r>
      <w:r>
        <w:rPr>
          <w:rFonts w:hint="eastAsia" w:eastAsia="仿宋_GB2312"/>
          <w:color w:val="000000"/>
          <w:sz w:val="32"/>
          <w:szCs w:val="32"/>
        </w:rPr>
        <w:t>至</w:t>
      </w:r>
      <w:r>
        <w:rPr>
          <w:rFonts w:eastAsia="仿宋_GB2312"/>
          <w:color w:val="000000"/>
          <w:sz w:val="32"/>
          <w:szCs w:val="32"/>
        </w:rPr>
        <w:t>自治区渔业病害防治环境监测和质量检验中心。</w:t>
      </w:r>
    </w:p>
    <w:p>
      <w:pPr>
        <w:spacing w:line="600" w:lineRule="exact"/>
        <w:ind w:firstLine="640" w:firstLineChars="200"/>
        <w:rPr>
          <w:rFonts w:eastAsia="楷体_GB2312"/>
          <w:color w:val="000000"/>
          <w:sz w:val="32"/>
          <w:szCs w:val="32"/>
        </w:rPr>
      </w:pPr>
      <w:r>
        <w:rPr>
          <w:rFonts w:eastAsia="楷体_GB2312"/>
          <w:color w:val="000000"/>
          <w:sz w:val="32"/>
          <w:szCs w:val="32"/>
        </w:rPr>
        <w:t>（三）检测依据和判定标准</w:t>
      </w:r>
    </w:p>
    <w:p>
      <w:pPr>
        <w:spacing w:line="600" w:lineRule="exact"/>
        <w:ind w:firstLine="640" w:firstLineChars="200"/>
        <w:rPr>
          <w:rFonts w:eastAsia="仿宋_GB2312"/>
          <w:color w:val="000000"/>
          <w:sz w:val="32"/>
          <w:szCs w:val="32"/>
        </w:rPr>
      </w:pPr>
      <w:r>
        <w:rPr>
          <w:rFonts w:eastAsia="仿宋_GB2312"/>
          <w:color w:val="000000"/>
          <w:sz w:val="32"/>
          <w:szCs w:val="32"/>
        </w:rPr>
        <w:t>检测依据和判定标准根据附件4的规定执行。</w:t>
      </w:r>
    </w:p>
    <w:p>
      <w:pPr>
        <w:spacing w:line="600" w:lineRule="exact"/>
        <w:ind w:firstLine="640" w:firstLineChars="200"/>
        <w:rPr>
          <w:rFonts w:eastAsia="楷体_GB2312"/>
          <w:color w:val="000000"/>
          <w:sz w:val="32"/>
          <w:szCs w:val="32"/>
        </w:rPr>
      </w:pPr>
      <w:r>
        <w:rPr>
          <w:rFonts w:eastAsia="楷体_GB2312"/>
          <w:color w:val="000000"/>
          <w:sz w:val="32"/>
          <w:szCs w:val="32"/>
        </w:rPr>
        <w:t>（四）拒绝抽样的处理</w:t>
      </w:r>
    </w:p>
    <w:p>
      <w:pPr>
        <w:spacing w:line="600" w:lineRule="exact"/>
        <w:ind w:firstLine="640" w:firstLineChars="200"/>
        <w:rPr>
          <w:rFonts w:eastAsia="仿宋_GB2312"/>
          <w:color w:val="000000"/>
          <w:sz w:val="32"/>
          <w:szCs w:val="32"/>
        </w:rPr>
      </w:pPr>
      <w:r>
        <w:rPr>
          <w:rFonts w:eastAsia="仿宋_GB2312"/>
          <w:color w:val="000000"/>
          <w:sz w:val="32"/>
          <w:szCs w:val="32"/>
        </w:rPr>
        <w:t>被抽查单位无正当理由拒绝抽样的，抽样人员应当立即告知拒绝抽样的法律责任和处理措施。被抽查单位仍拒绝抽样的，抽样人员应当现场填写拒检确认书（见附件5），由抽样人员和见证人共同签字，并及时向自治区农业农村厅</w:t>
      </w:r>
      <w:r>
        <w:rPr>
          <w:rFonts w:hint="eastAsia" w:eastAsia="仿宋_GB2312"/>
          <w:color w:val="000000"/>
          <w:sz w:val="32"/>
          <w:szCs w:val="32"/>
        </w:rPr>
        <w:t>农业综合行政执法局</w:t>
      </w:r>
      <w:r>
        <w:rPr>
          <w:rFonts w:eastAsia="仿宋_GB2312"/>
          <w:color w:val="000000"/>
          <w:sz w:val="32"/>
          <w:szCs w:val="32"/>
        </w:rPr>
        <w:t>报告相关情况。依据《农产品质量安全监测管理办法》（农业部令2012年第7号）第二十三条规定，对被拒绝抽查的农产品以不合格论处。</w:t>
      </w:r>
    </w:p>
    <w:p>
      <w:pPr>
        <w:spacing w:line="600" w:lineRule="exact"/>
        <w:ind w:firstLine="640" w:firstLineChars="200"/>
        <w:rPr>
          <w:rFonts w:eastAsia="黑体"/>
          <w:bCs/>
          <w:color w:val="000000"/>
          <w:sz w:val="32"/>
          <w:szCs w:val="32"/>
        </w:rPr>
      </w:pPr>
      <w:r>
        <w:rPr>
          <w:rFonts w:eastAsia="黑体"/>
          <w:bCs/>
          <w:color w:val="000000"/>
          <w:sz w:val="32"/>
          <w:szCs w:val="32"/>
        </w:rPr>
        <w:t>五、时间安排</w:t>
      </w:r>
    </w:p>
    <w:p>
      <w:pPr>
        <w:spacing w:line="600" w:lineRule="exact"/>
        <w:ind w:firstLine="640" w:firstLineChars="200"/>
        <w:rPr>
          <w:rFonts w:eastAsia="楷体_GB2312"/>
          <w:color w:val="000000"/>
          <w:sz w:val="32"/>
          <w:szCs w:val="32"/>
        </w:rPr>
      </w:pPr>
      <w:r>
        <w:rPr>
          <w:rFonts w:eastAsia="楷体_GB2312"/>
          <w:color w:val="000000"/>
          <w:sz w:val="32"/>
          <w:szCs w:val="32"/>
        </w:rPr>
        <w:t>（一）抽样检测时间</w:t>
      </w:r>
    </w:p>
    <w:p>
      <w:pPr>
        <w:spacing w:line="600" w:lineRule="exact"/>
        <w:ind w:firstLine="640" w:firstLineChars="200"/>
        <w:rPr>
          <w:rFonts w:eastAsia="仿宋_GB2312"/>
          <w:color w:val="000000"/>
          <w:sz w:val="32"/>
          <w:szCs w:val="32"/>
        </w:rPr>
      </w:pPr>
      <w:r>
        <w:rPr>
          <w:rFonts w:eastAsia="仿宋_GB2312"/>
          <w:color w:val="000000"/>
          <w:sz w:val="32"/>
          <w:szCs w:val="32"/>
        </w:rPr>
        <w:t>抽样、送样时间严格按照附件1的任务分配表执行。</w:t>
      </w:r>
    </w:p>
    <w:p>
      <w:pPr>
        <w:spacing w:line="600" w:lineRule="exact"/>
        <w:ind w:firstLine="640" w:firstLineChars="200"/>
        <w:rPr>
          <w:rFonts w:eastAsia="楷体_GB2312"/>
          <w:color w:val="000000"/>
          <w:sz w:val="32"/>
          <w:szCs w:val="32"/>
        </w:rPr>
      </w:pPr>
      <w:r>
        <w:rPr>
          <w:rFonts w:eastAsia="楷体_GB2312"/>
          <w:color w:val="000000"/>
          <w:sz w:val="32"/>
          <w:szCs w:val="32"/>
        </w:rPr>
        <w:t>（二）检测结果报送时间</w:t>
      </w:r>
    </w:p>
    <w:p>
      <w:pPr>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超标样品确证和执法查处。自治区渔业病害防治环境监测和质量检验中心确证结果报告应在确证后24小时内报送</w:t>
      </w:r>
      <w:r>
        <w:rPr>
          <w:rFonts w:hint="eastAsia" w:eastAsia="仿宋_GB2312"/>
          <w:color w:val="000000"/>
          <w:sz w:val="32"/>
          <w:szCs w:val="32"/>
        </w:rPr>
        <w:t>自治区农业农村</w:t>
      </w:r>
      <w:r>
        <w:rPr>
          <w:rFonts w:eastAsia="仿宋_GB2312"/>
          <w:color w:val="000000"/>
          <w:sz w:val="32"/>
          <w:szCs w:val="32"/>
        </w:rPr>
        <w:t>厅</w:t>
      </w:r>
      <w:r>
        <w:rPr>
          <w:rFonts w:hint="eastAsia" w:eastAsia="仿宋_GB2312"/>
          <w:color w:val="000000"/>
          <w:sz w:val="32"/>
          <w:szCs w:val="32"/>
        </w:rPr>
        <w:t>农业综合行政执法局</w:t>
      </w:r>
      <w:r>
        <w:rPr>
          <w:rFonts w:eastAsia="仿宋_GB2312"/>
          <w:color w:val="000000"/>
          <w:sz w:val="32"/>
          <w:szCs w:val="32"/>
        </w:rPr>
        <w:t>、抽样单位所在地市、县（市、区）局。所在地市、县（市、区）农业农村（海洋）局应及时书面通知被抽检单位（附检验报告），并书面告知“被抽检单位如对检测结果有异议，可自收到检测结果之日起5日内，向自治区农业农村厅申请复核”。确证超标样本，各地要按有关规定依法处置。</w:t>
      </w:r>
    </w:p>
    <w:p>
      <w:pPr>
        <w:widowControl/>
        <w:spacing w:line="600" w:lineRule="exact"/>
        <w:ind w:firstLine="640" w:firstLineChars="200"/>
        <w:rPr>
          <w:rFonts w:hint="eastAsia" w:eastAsia="仿宋_GB2312"/>
          <w:color w:val="000000"/>
          <w:sz w:val="32"/>
          <w:szCs w:val="32"/>
        </w:rPr>
      </w:pPr>
      <w:r>
        <w:rPr>
          <w:rFonts w:eastAsia="仿宋_GB2312"/>
          <w:color w:val="000000"/>
          <w:sz w:val="32"/>
          <w:szCs w:val="32"/>
        </w:rPr>
        <w:t>2</w:t>
      </w:r>
      <w:r>
        <w:rPr>
          <w:rFonts w:hint="eastAsia" w:eastAsia="仿宋_GB2312"/>
          <w:color w:val="000000"/>
          <w:sz w:val="32"/>
          <w:szCs w:val="32"/>
        </w:rPr>
        <w:t>.抽查</w:t>
      </w:r>
      <w:r>
        <w:rPr>
          <w:rFonts w:eastAsia="仿宋_GB2312"/>
          <w:color w:val="000000"/>
          <w:sz w:val="32"/>
          <w:szCs w:val="32"/>
        </w:rPr>
        <w:t>结果上报。各市农业农村局、北海市海洋局应分别于3月20日、6月20日、9月20日和11月30日前，将每季度自治区级和市、县级监督抽查结果</w:t>
      </w:r>
      <w:r>
        <w:rPr>
          <w:rFonts w:hint="eastAsia" w:eastAsia="仿宋_GB2312"/>
          <w:color w:val="000000"/>
          <w:sz w:val="32"/>
          <w:szCs w:val="32"/>
        </w:rPr>
        <w:t>（参考附件6）</w:t>
      </w:r>
      <w:r>
        <w:rPr>
          <w:rFonts w:eastAsia="仿宋_GB2312"/>
          <w:color w:val="000000"/>
          <w:sz w:val="32"/>
          <w:szCs w:val="32"/>
        </w:rPr>
        <w:t>报送</w:t>
      </w:r>
      <w:r>
        <w:rPr>
          <w:rFonts w:hint="eastAsia" w:eastAsia="仿宋_GB2312"/>
          <w:color w:val="000000"/>
          <w:sz w:val="32"/>
          <w:szCs w:val="32"/>
        </w:rPr>
        <w:t>至自治区农业农村厅农业综合行政执法局、</w:t>
      </w:r>
      <w:r>
        <w:rPr>
          <w:rFonts w:eastAsia="仿宋_GB2312"/>
          <w:color w:val="000000"/>
          <w:sz w:val="32"/>
          <w:szCs w:val="32"/>
        </w:rPr>
        <w:t>自治区渔业病害防治环境监测和质量检验中心</w:t>
      </w:r>
      <w:r>
        <w:rPr>
          <w:rFonts w:hint="eastAsia" w:eastAsia="仿宋_GB2312"/>
          <w:color w:val="000000"/>
          <w:sz w:val="32"/>
          <w:szCs w:val="32"/>
        </w:rPr>
        <w:t>。</w:t>
      </w:r>
    </w:p>
    <w:p>
      <w:pPr>
        <w:widowControl/>
        <w:spacing w:line="600" w:lineRule="exact"/>
        <w:ind w:firstLine="640" w:firstLineChars="200"/>
        <w:rPr>
          <w:rFonts w:eastAsia="仿宋_GB2312"/>
          <w:color w:val="000000"/>
          <w:sz w:val="32"/>
          <w:szCs w:val="32"/>
        </w:rPr>
      </w:pPr>
      <w:r>
        <w:rPr>
          <w:rFonts w:hint="eastAsia" w:eastAsia="仿宋_GB2312"/>
          <w:color w:val="000000"/>
          <w:sz w:val="32"/>
          <w:szCs w:val="32"/>
        </w:rPr>
        <w:t>3.查处情况上报。各市农业农村局应分别于3月30日、6月30日、9月30日和12月10日前，将每季度各级开展监督抽查的不合格样品核查处置情况（附件8，包括自治区级、市级、县级监督抽查的不合格样品核查处置情况）及佐证材料报送至自治区农业农村厅农业综合行政执法局。</w:t>
      </w:r>
    </w:p>
    <w:p>
      <w:pPr>
        <w:widowControl/>
        <w:spacing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自治区渔业病害防治环境监测和质量检验中心应分别于4月30日、6月30日、9月30日和12月10日前，将</w:t>
      </w:r>
      <w:r>
        <w:rPr>
          <w:rFonts w:hint="eastAsia" w:eastAsia="仿宋_GB2312"/>
          <w:color w:val="000000"/>
          <w:sz w:val="32"/>
          <w:szCs w:val="32"/>
        </w:rPr>
        <w:t>检测结果</w:t>
      </w:r>
      <w:r>
        <w:rPr>
          <w:rFonts w:eastAsia="仿宋_GB2312"/>
          <w:color w:val="000000"/>
          <w:sz w:val="32"/>
          <w:szCs w:val="32"/>
        </w:rPr>
        <w:t>总结分析报告（电子文件和纸质文件）上报自治区农业农村厅</w:t>
      </w:r>
      <w:r>
        <w:rPr>
          <w:rFonts w:hint="eastAsia" w:eastAsia="仿宋_GB2312"/>
          <w:color w:val="000000"/>
          <w:kern w:val="0"/>
          <w:sz w:val="32"/>
          <w:szCs w:val="32"/>
        </w:rPr>
        <w:t>农业综合行政执法局</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黑体"/>
          <w:bCs/>
          <w:color w:val="000000"/>
          <w:sz w:val="32"/>
          <w:szCs w:val="32"/>
        </w:rPr>
        <w:t>六、经费安排</w:t>
      </w:r>
    </w:p>
    <w:p>
      <w:pPr>
        <w:spacing w:line="600"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3</w:t>
      </w:r>
      <w:r>
        <w:rPr>
          <w:rFonts w:hint="eastAsia" w:eastAsia="仿宋_GB2312"/>
          <w:sz w:val="32"/>
          <w:szCs w:val="32"/>
        </w:rPr>
        <w:t>年补助市县开展农产品质量安全监督抽查经费预算共7</w:t>
      </w:r>
      <w:r>
        <w:rPr>
          <w:rFonts w:eastAsia="仿宋_GB2312"/>
          <w:sz w:val="32"/>
          <w:szCs w:val="32"/>
        </w:rPr>
        <w:t>46.22万元，</w:t>
      </w:r>
      <w:r>
        <w:rPr>
          <w:rFonts w:hint="eastAsia" w:eastAsia="仿宋_GB2312"/>
          <w:sz w:val="32"/>
          <w:szCs w:val="32"/>
        </w:rPr>
        <w:t>均分配至各任务市县。请各级农业农村部门根据《</w:t>
      </w:r>
      <w:r>
        <w:rPr>
          <w:rFonts w:eastAsia="仿宋_GB2312"/>
          <w:sz w:val="32"/>
          <w:szCs w:val="32"/>
        </w:rPr>
        <w:t>自治区农业厅财政厅关于印发农业生产发展专项资金管理实施细则的通知》（桂农业发[2017]112号），</w:t>
      </w:r>
      <w:r>
        <w:rPr>
          <w:rFonts w:hint="eastAsia" w:eastAsia="仿宋_GB2312"/>
          <w:sz w:val="32"/>
          <w:szCs w:val="32"/>
        </w:rPr>
        <w:t>积极与本级财政部门沟通，落实专项资金，开展监督抽查工作。明确</w:t>
      </w:r>
      <w:r>
        <w:rPr>
          <w:rFonts w:eastAsia="仿宋_GB2312"/>
          <w:sz w:val="32"/>
          <w:szCs w:val="32"/>
        </w:rPr>
        <w:t>资金的使用方向支出，加强项目资金管理，专款专用，严禁挪用项目资金。</w:t>
      </w:r>
      <w:r>
        <w:rPr>
          <w:rFonts w:hint="eastAsia" w:eastAsia="仿宋_GB2312"/>
          <w:sz w:val="32"/>
          <w:szCs w:val="32"/>
        </w:rPr>
        <w:t>经费主要用于支付采样工具、样品购买、配套设备、差旅和交通等费用。各市县要加强项目资金管理，专款专用，严禁挪用项目资金。</w:t>
      </w:r>
    </w:p>
    <w:p>
      <w:pPr>
        <w:spacing w:line="600" w:lineRule="exact"/>
        <w:ind w:firstLine="640" w:firstLineChars="200"/>
        <w:rPr>
          <w:rFonts w:eastAsia="黑体"/>
          <w:bCs/>
          <w:color w:val="000000"/>
          <w:sz w:val="32"/>
          <w:szCs w:val="32"/>
        </w:rPr>
      </w:pPr>
      <w:r>
        <w:rPr>
          <w:rFonts w:eastAsia="黑体"/>
          <w:bCs/>
          <w:color w:val="000000"/>
          <w:sz w:val="32"/>
          <w:szCs w:val="32"/>
        </w:rPr>
        <w:t>七、联系方式</w:t>
      </w:r>
    </w:p>
    <w:p>
      <w:pPr>
        <w:spacing w:line="600" w:lineRule="exact"/>
        <w:ind w:firstLine="640" w:firstLineChars="200"/>
        <w:rPr>
          <w:rFonts w:eastAsia="仿宋_GB2312"/>
          <w:color w:val="000000"/>
          <w:sz w:val="32"/>
          <w:szCs w:val="32"/>
        </w:rPr>
      </w:pPr>
      <w:r>
        <w:rPr>
          <w:rFonts w:eastAsia="仿宋_GB2312"/>
          <w:color w:val="000000"/>
          <w:sz w:val="32"/>
          <w:szCs w:val="32"/>
        </w:rPr>
        <w:t>监督抽查业务和技术问题，请联系自治区渔业病害防治环境监测和质量检验中心。联系人：谢宗升、吴祥庆，联系电话：0771-5313061（含传真）、5314643，电子邮箱：</w:t>
      </w:r>
      <w:r>
        <w:rPr>
          <w:color w:val="000000"/>
        </w:rPr>
        <w:fldChar w:fldCharType="begin"/>
      </w:r>
      <w:r>
        <w:rPr>
          <w:color w:val="000000"/>
        </w:rPr>
        <w:instrText xml:space="preserve">HYPERLINK "mailto:gxfemc@163.com"</w:instrText>
      </w:r>
      <w:r>
        <w:rPr>
          <w:color w:val="000000"/>
        </w:rPr>
        <w:fldChar w:fldCharType="separate"/>
      </w:r>
      <w:r>
        <w:rPr>
          <w:rStyle w:val="6"/>
          <w:rFonts w:eastAsia="仿宋_GB2312"/>
          <w:color w:val="000000"/>
          <w:sz w:val="32"/>
          <w:szCs w:val="32"/>
          <w:u w:val="none"/>
        </w:rPr>
        <w:t>gxfemc@163.com</w:t>
      </w:r>
      <w:r>
        <w:rPr>
          <w:color w:val="000000"/>
        </w:rPr>
        <w:fldChar w:fldCharType="end"/>
      </w:r>
      <w:r>
        <w:rPr>
          <w:rFonts w:eastAsia="仿宋_GB2312"/>
          <w:color w:val="000000"/>
          <w:sz w:val="32"/>
          <w:szCs w:val="32"/>
        </w:rPr>
        <w:t>。</w:t>
      </w:r>
    </w:p>
    <w:p>
      <w:pPr>
        <w:spacing w:line="600" w:lineRule="exact"/>
        <w:rPr>
          <w:rFonts w:eastAsia="仿宋_GB2312"/>
          <w:color w:val="000000"/>
          <w:sz w:val="32"/>
          <w:szCs w:val="32"/>
        </w:rPr>
      </w:pPr>
    </w:p>
    <w:p>
      <w:pPr>
        <w:spacing w:line="600" w:lineRule="exact"/>
        <w:ind w:firstLine="800" w:firstLineChars="250"/>
        <w:rPr>
          <w:rFonts w:eastAsia="仿宋_GB2312"/>
          <w:color w:val="000000"/>
          <w:kern w:val="0"/>
          <w:sz w:val="32"/>
          <w:szCs w:val="32"/>
        </w:rPr>
      </w:pPr>
      <w:r>
        <w:rPr>
          <w:rFonts w:eastAsia="仿宋_GB2312"/>
          <w:color w:val="000000"/>
          <w:sz w:val="32"/>
          <w:szCs w:val="32"/>
        </w:rPr>
        <w:t>附件：1.2023年广西水产品质量安全监督抽查计划表</w:t>
      </w:r>
    </w:p>
    <w:p>
      <w:pPr>
        <w:spacing w:line="600" w:lineRule="exact"/>
        <w:ind w:firstLine="1760" w:firstLineChars="550"/>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u w:val="single"/>
        </w:rPr>
        <w:t xml:space="preserve">    </w:t>
      </w:r>
      <w:r>
        <w:rPr>
          <w:rFonts w:eastAsia="仿宋_GB2312"/>
          <w:color w:val="000000"/>
          <w:sz w:val="32"/>
          <w:szCs w:val="32"/>
        </w:rPr>
        <w:t>市抽样、送样工作情况记录表</w:t>
      </w:r>
    </w:p>
    <w:p>
      <w:pPr>
        <w:spacing w:line="600" w:lineRule="exact"/>
        <w:ind w:firstLine="1760" w:firstLineChars="550"/>
        <w:rPr>
          <w:rFonts w:eastAsia="仿宋_GB2312"/>
          <w:color w:val="000000"/>
          <w:sz w:val="32"/>
          <w:szCs w:val="32"/>
        </w:rPr>
      </w:pPr>
      <w:r>
        <w:rPr>
          <w:rFonts w:eastAsia="仿宋_GB2312"/>
          <w:color w:val="000000"/>
          <w:sz w:val="32"/>
          <w:szCs w:val="32"/>
        </w:rPr>
        <w:t xml:space="preserve">3. </w:t>
      </w:r>
      <w:r>
        <w:rPr>
          <w:rFonts w:eastAsia="仿宋_GB2312"/>
          <w:color w:val="000000"/>
          <w:sz w:val="32"/>
          <w:szCs w:val="32"/>
          <w:u w:val="single"/>
        </w:rPr>
        <w:t xml:space="preserve">    </w:t>
      </w:r>
      <w:r>
        <w:rPr>
          <w:rFonts w:eastAsia="仿宋_GB2312"/>
          <w:color w:val="000000"/>
          <w:sz w:val="32"/>
          <w:szCs w:val="32"/>
        </w:rPr>
        <w:t>市送检水产样品信息汇总表</w:t>
      </w:r>
    </w:p>
    <w:p>
      <w:pPr>
        <w:spacing w:line="600" w:lineRule="exact"/>
        <w:ind w:firstLine="1760" w:firstLineChars="550"/>
        <w:rPr>
          <w:rFonts w:eastAsia="仿宋_GB2312"/>
          <w:color w:val="000000"/>
          <w:sz w:val="32"/>
          <w:szCs w:val="32"/>
        </w:rPr>
      </w:pPr>
      <w:r>
        <w:rPr>
          <w:rFonts w:eastAsia="仿宋_GB2312"/>
          <w:color w:val="000000"/>
          <w:sz w:val="32"/>
          <w:szCs w:val="32"/>
        </w:rPr>
        <w:t>4. 检测项目、检测方法及结果判定</w:t>
      </w:r>
    </w:p>
    <w:p>
      <w:pPr>
        <w:spacing w:line="600" w:lineRule="exact"/>
        <w:ind w:firstLine="1760" w:firstLineChars="550"/>
        <w:rPr>
          <w:rFonts w:eastAsia="仿宋_GB2312"/>
          <w:color w:val="000000"/>
          <w:sz w:val="32"/>
          <w:szCs w:val="32"/>
        </w:rPr>
      </w:pPr>
      <w:r>
        <w:rPr>
          <w:rFonts w:eastAsia="仿宋_GB2312"/>
          <w:color w:val="000000"/>
          <w:sz w:val="32"/>
          <w:szCs w:val="32"/>
        </w:rPr>
        <w:t>5. 广西水产品质量安全监督抽查拒检确认书</w:t>
      </w:r>
    </w:p>
    <w:p>
      <w:pPr>
        <w:spacing w:line="600" w:lineRule="exact"/>
        <w:ind w:firstLine="1760" w:firstLineChars="550"/>
        <w:rPr>
          <w:rFonts w:eastAsia="仿宋_GB2312"/>
          <w:color w:val="000000"/>
          <w:sz w:val="32"/>
          <w:szCs w:val="32"/>
        </w:rPr>
      </w:pPr>
      <w:r>
        <w:rPr>
          <w:rFonts w:eastAsia="仿宋_GB2312"/>
          <w:color w:val="000000"/>
          <w:sz w:val="32"/>
          <w:szCs w:val="32"/>
        </w:rPr>
        <w:t>6. 广西水产品质量安全监督抽查结果汇总表</w:t>
      </w:r>
    </w:p>
    <w:p>
      <w:pPr>
        <w:spacing w:line="600" w:lineRule="exact"/>
        <w:ind w:firstLine="1760" w:firstLineChars="55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w:t>
      </w:r>
      <w:r>
        <w:rPr>
          <w:rFonts w:eastAsia="仿宋_GB2312"/>
          <w:color w:val="000000"/>
          <w:sz w:val="32"/>
          <w:szCs w:val="32"/>
        </w:rPr>
        <w:t xml:space="preserve"> 2023年广西水产品质量安全</w:t>
      </w:r>
      <w:r>
        <w:rPr>
          <w:rFonts w:hint="eastAsia" w:eastAsia="仿宋_GB2312"/>
          <w:color w:val="000000"/>
          <w:sz w:val="32"/>
          <w:szCs w:val="32"/>
        </w:rPr>
        <w:t>监督</w:t>
      </w:r>
      <w:r>
        <w:rPr>
          <w:rFonts w:eastAsia="仿宋_GB2312"/>
          <w:color w:val="000000"/>
          <w:sz w:val="32"/>
          <w:szCs w:val="32"/>
        </w:rPr>
        <w:t>抽查</w:t>
      </w:r>
      <w:r>
        <w:rPr>
          <w:rFonts w:hint="eastAsia" w:eastAsia="仿宋_GB2312"/>
          <w:color w:val="000000"/>
          <w:sz w:val="32"/>
          <w:szCs w:val="32"/>
        </w:rPr>
        <w:t>工作</w:t>
      </w:r>
      <w:r>
        <w:rPr>
          <w:rFonts w:eastAsia="仿宋_GB2312"/>
          <w:color w:val="000000"/>
          <w:sz w:val="32"/>
          <w:szCs w:val="32"/>
        </w:rPr>
        <w:t>联系表</w:t>
      </w:r>
    </w:p>
    <w:p>
      <w:pPr>
        <w:spacing w:line="600" w:lineRule="exact"/>
        <w:ind w:left="2075" w:leftChars="836" w:hanging="320" w:hangingChars="100"/>
        <w:rPr>
          <w:rFonts w:hint="eastAsia" w:eastAsia="仿宋_GB2312"/>
          <w:color w:val="000000"/>
          <w:sz w:val="32"/>
          <w:szCs w:val="32"/>
        </w:rPr>
      </w:pPr>
      <w:r>
        <w:rPr>
          <w:rFonts w:eastAsia="仿宋_GB2312"/>
          <w:color w:val="000000"/>
          <w:sz w:val="32"/>
          <w:szCs w:val="32"/>
        </w:rPr>
        <w:t>8</w:t>
      </w:r>
      <w:r>
        <w:rPr>
          <w:rFonts w:hint="eastAsia" w:eastAsia="仿宋_GB2312"/>
          <w:color w:val="000000"/>
          <w:sz w:val="32"/>
          <w:szCs w:val="32"/>
        </w:rPr>
        <w:t>.</w:t>
      </w:r>
      <w:r>
        <w:rPr>
          <w:color w:val="000000"/>
        </w:rPr>
        <w:t xml:space="preserve"> </w:t>
      </w:r>
      <w:r>
        <w:rPr>
          <w:rFonts w:hint="eastAsia" w:eastAsia="仿宋_GB2312"/>
          <w:color w:val="000000"/>
          <w:sz w:val="32"/>
          <w:szCs w:val="32"/>
        </w:rPr>
        <w:t>2023年第</w:t>
      </w:r>
      <w:r>
        <w:rPr>
          <w:rFonts w:eastAsia="仿宋_GB2312"/>
          <w:color w:val="000000"/>
          <w:sz w:val="32"/>
          <w:szCs w:val="32"/>
          <w:u w:val="single"/>
        </w:rPr>
        <w:t xml:space="preserve">    </w:t>
      </w:r>
      <w:r>
        <w:rPr>
          <w:rFonts w:hint="eastAsia" w:eastAsia="仿宋_GB2312"/>
          <w:color w:val="000000"/>
          <w:sz w:val="32"/>
          <w:szCs w:val="32"/>
        </w:rPr>
        <w:t>季度</w:t>
      </w:r>
      <w:r>
        <w:rPr>
          <w:rFonts w:eastAsia="仿宋_GB2312"/>
          <w:color w:val="000000"/>
          <w:sz w:val="32"/>
          <w:szCs w:val="32"/>
          <w:u w:val="single"/>
        </w:rPr>
        <w:t xml:space="preserve">    </w:t>
      </w:r>
      <w:r>
        <w:rPr>
          <w:rFonts w:hint="eastAsia" w:eastAsia="仿宋_GB2312"/>
          <w:color w:val="000000"/>
          <w:sz w:val="32"/>
          <w:szCs w:val="32"/>
        </w:rPr>
        <w:t>市监督抽查结果及不合格样品查处情况</w:t>
      </w:r>
    </w:p>
    <w:p>
      <w:pPr>
        <w:spacing w:line="600" w:lineRule="exact"/>
        <w:ind w:firstLine="640" w:firstLineChars="200"/>
        <w:jc w:val="left"/>
        <w:rPr>
          <w:rFonts w:eastAsia="仿宋_GB2312"/>
          <w:color w:val="000000"/>
          <w:sz w:val="32"/>
          <w:szCs w:val="32"/>
        </w:rPr>
      </w:pPr>
    </w:p>
    <w:p>
      <w:pPr>
        <w:spacing w:line="600" w:lineRule="exact"/>
        <w:ind w:firstLine="640" w:firstLineChars="200"/>
        <w:jc w:val="left"/>
        <w:rPr>
          <w:rFonts w:hint="eastAsia" w:eastAsia="仿宋_GB2312"/>
          <w:color w:val="000000"/>
          <w:sz w:val="32"/>
          <w:szCs w:val="32"/>
        </w:rPr>
      </w:pPr>
    </w:p>
    <w:p>
      <w:pPr>
        <w:adjustRightInd w:val="0"/>
        <w:snapToGrid w:val="0"/>
        <w:spacing w:line="600" w:lineRule="exact"/>
        <w:rPr>
          <w:rFonts w:eastAsia="仿宋_GB2312"/>
          <w:color w:val="000000"/>
          <w:sz w:val="30"/>
          <w:szCs w:val="30"/>
        </w:rPr>
        <w:sectPr>
          <w:footerReference r:id="rId3" w:type="default"/>
          <w:footerReference r:id="rId4" w:type="even"/>
          <w:pgSz w:w="11906" w:h="16838"/>
          <w:pgMar w:top="1440" w:right="1287" w:bottom="1440" w:left="1588" w:header="851" w:footer="992" w:gutter="0"/>
          <w:cols w:space="720" w:num="1"/>
          <w:docGrid w:type="linesAndChars" w:linePitch="312" w:charSpace="0"/>
        </w:sectPr>
      </w:pPr>
    </w:p>
    <w:p>
      <w:pPr>
        <w:adjustRightInd w:val="0"/>
        <w:snapToGrid w:val="0"/>
        <w:spacing w:line="360" w:lineRule="auto"/>
        <w:rPr>
          <w:rFonts w:eastAsia="黑体"/>
          <w:color w:val="000000"/>
          <w:sz w:val="32"/>
          <w:szCs w:val="32"/>
        </w:rPr>
      </w:pPr>
      <w:r>
        <w:rPr>
          <w:rFonts w:eastAsia="黑体"/>
          <w:color w:val="000000"/>
          <w:sz w:val="32"/>
          <w:szCs w:val="32"/>
        </w:rPr>
        <w:t>附件1</w:t>
      </w:r>
    </w:p>
    <w:p>
      <w:pPr>
        <w:adjustRightInd w:val="0"/>
        <w:snapToGrid w:val="0"/>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2023年广西水产品质量安全监督抽查计划表</w:t>
      </w:r>
    </w:p>
    <w:tbl>
      <w:tblPr>
        <w:tblStyle w:val="4"/>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984"/>
        <w:gridCol w:w="1560"/>
        <w:gridCol w:w="26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kern w:val="0"/>
                <w:sz w:val="24"/>
              </w:rPr>
            </w:pPr>
            <w:r>
              <w:rPr>
                <w:rFonts w:ascii="Calibri" w:hAnsi="Calibri" w:eastAsia="仿宋_GB2312"/>
                <w:color w:val="000000"/>
                <w:kern w:val="0"/>
                <w:sz w:val="24"/>
              </w:rPr>
              <w:t>监测</w:t>
            </w:r>
          </w:p>
          <w:p>
            <w:pPr>
              <w:jc w:val="center"/>
              <w:rPr>
                <w:rFonts w:ascii="Calibri" w:hAnsi="Calibri" w:eastAsia="仿宋_GB2312"/>
                <w:color w:val="000000"/>
                <w:kern w:val="0"/>
                <w:sz w:val="24"/>
              </w:rPr>
            </w:pPr>
            <w:r>
              <w:rPr>
                <w:rFonts w:ascii="Calibri" w:hAnsi="Calibri" w:eastAsia="仿宋_GB2312"/>
                <w:color w:val="000000"/>
                <w:kern w:val="0"/>
                <w:sz w:val="24"/>
              </w:rPr>
              <w:t>城市</w:t>
            </w:r>
          </w:p>
        </w:tc>
        <w:tc>
          <w:tcPr>
            <w:tcW w:w="3544" w:type="dxa"/>
            <w:gridSpan w:val="2"/>
            <w:noWrap w:val="0"/>
            <w:vAlign w:val="center"/>
          </w:tcPr>
          <w:p>
            <w:pPr>
              <w:jc w:val="center"/>
              <w:rPr>
                <w:rFonts w:ascii="Calibri" w:hAnsi="Calibri" w:eastAsia="仿宋_GB2312"/>
                <w:color w:val="000000"/>
                <w:kern w:val="0"/>
                <w:sz w:val="24"/>
              </w:rPr>
            </w:pPr>
            <w:r>
              <w:rPr>
                <w:rFonts w:ascii="Calibri" w:hAnsi="Calibri" w:eastAsia="仿宋_GB2312"/>
                <w:color w:val="000000"/>
                <w:kern w:val="0"/>
                <w:sz w:val="24"/>
              </w:rPr>
              <w:t>抽样数量（个）</w:t>
            </w:r>
          </w:p>
        </w:tc>
        <w:tc>
          <w:tcPr>
            <w:tcW w:w="2693" w:type="dxa"/>
            <w:noWrap w:val="0"/>
            <w:vAlign w:val="center"/>
          </w:tcPr>
          <w:p>
            <w:pPr>
              <w:jc w:val="center"/>
              <w:rPr>
                <w:rFonts w:ascii="Calibri" w:hAnsi="Calibri" w:eastAsia="仿宋_GB2312"/>
                <w:color w:val="000000"/>
                <w:kern w:val="0"/>
                <w:sz w:val="24"/>
              </w:rPr>
            </w:pPr>
            <w:r>
              <w:rPr>
                <w:rFonts w:ascii="Calibri" w:hAnsi="Calibri" w:eastAsia="仿宋_GB2312"/>
                <w:color w:val="000000"/>
                <w:kern w:val="0"/>
                <w:sz w:val="24"/>
              </w:rPr>
              <w:t>组织抽样单位</w:t>
            </w:r>
          </w:p>
        </w:tc>
        <w:tc>
          <w:tcPr>
            <w:tcW w:w="1701" w:type="dxa"/>
            <w:noWrap w:val="0"/>
            <w:vAlign w:val="center"/>
          </w:tcPr>
          <w:p>
            <w:pPr>
              <w:jc w:val="center"/>
              <w:rPr>
                <w:rFonts w:ascii="Calibri" w:hAnsi="Calibri" w:eastAsia="仿宋_GB2312"/>
                <w:color w:val="000000"/>
                <w:kern w:val="0"/>
                <w:sz w:val="24"/>
              </w:rPr>
            </w:pPr>
            <w:r>
              <w:rPr>
                <w:rFonts w:ascii="Calibri" w:hAnsi="Calibri" w:eastAsia="仿宋_GB2312"/>
                <w:color w:val="000000"/>
                <w:kern w:val="0"/>
                <w:sz w:val="24"/>
              </w:rPr>
              <w:t>抽、送样时间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仿宋_GB2312" w:hAnsi="Calibri" w:eastAsia="仿宋_GB2312"/>
                <w:color w:val="000000"/>
                <w:sz w:val="24"/>
              </w:rPr>
            </w:pPr>
            <w:r>
              <w:rPr>
                <w:rFonts w:hint="eastAsia" w:hAnsi="Calibri" w:eastAsia="仿宋_GB2312"/>
                <w:color w:val="000000"/>
                <w:sz w:val="24"/>
              </w:rPr>
              <w:t>全</w:t>
            </w:r>
            <w:r>
              <w:rPr>
                <w:rFonts w:hAnsi="Calibri" w:eastAsia="仿宋_GB2312"/>
                <w:color w:val="000000"/>
                <w:sz w:val="24"/>
              </w:rPr>
              <w:t>区</w:t>
            </w:r>
          </w:p>
        </w:tc>
        <w:tc>
          <w:tcPr>
            <w:tcW w:w="1984" w:type="dxa"/>
            <w:noWrap w:val="0"/>
            <w:vAlign w:val="center"/>
          </w:tcPr>
          <w:p>
            <w:pPr>
              <w:jc w:val="center"/>
              <w:rPr>
                <w:rFonts w:ascii="Calibri" w:hAnsi="Calibri" w:eastAsia="仿宋_GB2312"/>
                <w:color w:val="000000"/>
                <w:sz w:val="24"/>
              </w:rPr>
            </w:pPr>
            <w:r>
              <w:rPr>
                <w:rFonts w:ascii="Calibri" w:hAnsi="Calibri" w:eastAsia="仿宋_GB2312"/>
                <w:color w:val="000000"/>
                <w:sz w:val="24"/>
              </w:rPr>
              <w:t>成品</w:t>
            </w:r>
          </w:p>
        </w:tc>
        <w:tc>
          <w:tcPr>
            <w:tcW w:w="1560"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苗</w:t>
            </w:r>
            <w:r>
              <w:rPr>
                <w:rFonts w:ascii="仿宋_GB2312" w:hAnsi="Calibri" w:eastAsia="仿宋_GB2312"/>
                <w:color w:val="000000"/>
                <w:sz w:val="24"/>
              </w:rPr>
              <w:t>种</w:t>
            </w:r>
          </w:p>
        </w:tc>
        <w:tc>
          <w:tcPr>
            <w:tcW w:w="2693" w:type="dxa"/>
            <w:noWrap w:val="0"/>
            <w:vAlign w:val="center"/>
          </w:tcPr>
          <w:p>
            <w:pPr>
              <w:widowControl/>
              <w:jc w:val="center"/>
              <w:rPr>
                <w:rFonts w:ascii="Calibri" w:hAnsi="Calibri" w:eastAsia="仿宋_GB2312"/>
                <w:color w:val="000000"/>
                <w:kern w:val="0"/>
                <w:sz w:val="24"/>
              </w:rPr>
            </w:pPr>
          </w:p>
        </w:tc>
        <w:tc>
          <w:tcPr>
            <w:tcW w:w="1701" w:type="dxa"/>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南宁</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112（每次28）</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15</w:t>
            </w:r>
          </w:p>
        </w:tc>
        <w:tc>
          <w:tcPr>
            <w:tcW w:w="2693" w:type="dxa"/>
            <w:noWrap w:val="0"/>
            <w:vAlign w:val="center"/>
          </w:tcPr>
          <w:p>
            <w:pPr>
              <w:widowControl/>
              <w:jc w:val="center"/>
              <w:rPr>
                <w:rFonts w:ascii="Calibri" w:hAnsi="Calibri" w:eastAsia="仿宋_GB2312"/>
                <w:color w:val="000000"/>
                <w:kern w:val="0"/>
                <w:sz w:val="24"/>
              </w:rPr>
            </w:pPr>
            <w:r>
              <w:rPr>
                <w:rFonts w:ascii="Calibri" w:hAnsi="Calibri" w:eastAsia="仿宋_GB2312"/>
                <w:color w:val="000000"/>
                <w:kern w:val="0"/>
                <w:sz w:val="24"/>
              </w:rPr>
              <w:t>南宁市农业农村局</w:t>
            </w:r>
          </w:p>
        </w:tc>
        <w:tc>
          <w:tcPr>
            <w:tcW w:w="1701" w:type="dxa"/>
            <w:vMerge w:val="restart"/>
            <w:noWrap w:val="0"/>
            <w:vAlign w:val="center"/>
          </w:tcPr>
          <w:p>
            <w:pPr>
              <w:jc w:val="left"/>
              <w:rPr>
                <w:rFonts w:ascii="Calibri" w:hAnsi="Calibri" w:eastAsia="仿宋_GB2312"/>
                <w:color w:val="000000"/>
                <w:kern w:val="0"/>
                <w:sz w:val="24"/>
              </w:rPr>
            </w:pPr>
            <w:r>
              <w:rPr>
                <w:rFonts w:hint="eastAsia" w:ascii="Calibri" w:hAnsi="Calibri" w:eastAsia="仿宋_GB2312"/>
                <w:color w:val="000000"/>
                <w:kern w:val="0"/>
                <w:sz w:val="24"/>
              </w:rPr>
              <w:t>成品：</w:t>
            </w:r>
            <w:r>
              <w:rPr>
                <w:rFonts w:ascii="Calibri" w:hAnsi="Calibri" w:eastAsia="仿宋_GB2312"/>
                <w:color w:val="000000"/>
                <w:kern w:val="0"/>
                <w:sz w:val="24"/>
              </w:rPr>
              <w:t>3月、5月、8月、10月10日-20日</w:t>
            </w:r>
          </w:p>
          <w:p>
            <w:pPr>
              <w:jc w:val="left"/>
              <w:rPr>
                <w:rFonts w:hint="eastAsia" w:ascii="仿宋_GB2312" w:hAnsi="Calibri" w:eastAsia="仿宋_GB2312"/>
                <w:color w:val="000000"/>
                <w:sz w:val="24"/>
              </w:rPr>
            </w:pPr>
            <w:r>
              <w:rPr>
                <w:rFonts w:hint="eastAsia" w:ascii="仿宋_GB2312" w:hAnsi="Calibri" w:eastAsia="仿宋_GB2312"/>
                <w:color w:val="000000"/>
                <w:sz w:val="24"/>
              </w:rPr>
              <w:t>苗</w:t>
            </w:r>
            <w:r>
              <w:rPr>
                <w:rFonts w:ascii="仿宋_GB2312" w:hAnsi="Calibri" w:eastAsia="仿宋_GB2312"/>
                <w:color w:val="000000"/>
                <w:sz w:val="24"/>
              </w:rPr>
              <w:t>种</w:t>
            </w:r>
            <w:r>
              <w:rPr>
                <w:rFonts w:hint="eastAsia" w:ascii="仿宋_GB2312" w:hAnsi="Calibri" w:eastAsia="仿宋_GB2312"/>
                <w:color w:val="000000"/>
                <w:sz w:val="24"/>
              </w:rPr>
              <w:t>：</w:t>
            </w:r>
            <w:r>
              <w:rPr>
                <w:rFonts w:ascii="Calibri" w:hAnsi="Calibri" w:eastAsia="仿宋_GB2312"/>
                <w:color w:val="000000"/>
                <w:kern w:val="0"/>
                <w:sz w:val="24"/>
              </w:rPr>
              <w:t>3月、5月、8月10日-20日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柳州</w:t>
            </w:r>
          </w:p>
        </w:tc>
        <w:tc>
          <w:tcPr>
            <w:tcW w:w="1984" w:type="dxa"/>
            <w:noWrap w:val="0"/>
            <w:vAlign w:val="center"/>
          </w:tcPr>
          <w:p>
            <w:pPr>
              <w:rPr>
                <w:rFonts w:ascii="仿宋_GB2312" w:hAnsi="Calibri" w:eastAsia="仿宋_GB2312"/>
                <w:color w:val="000000"/>
                <w:sz w:val="24"/>
              </w:rPr>
            </w:pPr>
            <w:r>
              <w:rPr>
                <w:rFonts w:hint="eastAsia" w:ascii="仿宋_GB2312" w:hAnsi="Calibri" w:eastAsia="仿宋_GB2312"/>
                <w:color w:val="000000"/>
                <w:sz w:val="24"/>
              </w:rPr>
              <w:t>100（每次25）</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12</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柳州</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桂林</w:t>
            </w:r>
          </w:p>
        </w:tc>
        <w:tc>
          <w:tcPr>
            <w:tcW w:w="1984" w:type="dxa"/>
            <w:noWrap w:val="0"/>
            <w:vAlign w:val="center"/>
          </w:tcPr>
          <w:p>
            <w:pPr>
              <w:rPr>
                <w:rFonts w:ascii="仿宋_GB2312" w:hAnsi="Calibri" w:eastAsia="仿宋_GB2312"/>
                <w:color w:val="000000"/>
                <w:sz w:val="24"/>
              </w:rPr>
            </w:pPr>
            <w:r>
              <w:rPr>
                <w:rFonts w:hint="eastAsia" w:ascii="仿宋_GB2312" w:hAnsi="Calibri" w:eastAsia="仿宋_GB2312"/>
                <w:color w:val="000000"/>
                <w:sz w:val="24"/>
              </w:rPr>
              <w:t>100（每次25）</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17</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桂林</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梧州</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84（每次21）</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13</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梧州</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北海</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84（第一次12，其它各次24）</w:t>
            </w:r>
          </w:p>
        </w:tc>
        <w:tc>
          <w:tcPr>
            <w:tcW w:w="1560"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kern w:val="0"/>
                <w:sz w:val="24"/>
                <w:lang w:bidi="ar"/>
              </w:rPr>
              <w:t>23</w:t>
            </w:r>
            <w:r>
              <w:rPr>
                <w:rFonts w:hint="eastAsia" w:ascii="仿宋_GB2312" w:hAnsi="Calibri" w:eastAsia="仿宋_GB2312"/>
                <w:color w:val="000000"/>
                <w:sz w:val="24"/>
              </w:rPr>
              <w:t>（其中对虾17）</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北海</w:t>
            </w:r>
            <w:r>
              <w:rPr>
                <w:rFonts w:ascii="Calibri" w:hAnsi="Calibri" w:eastAsia="仿宋_GB2312"/>
                <w:color w:val="000000"/>
                <w:kern w:val="0"/>
                <w:sz w:val="24"/>
              </w:rPr>
              <w:t>市农业农村局</w:t>
            </w:r>
            <w:r>
              <w:rPr>
                <w:rFonts w:hint="eastAsia" w:ascii="Calibri" w:hAnsi="Calibri" w:eastAsia="仿宋_GB2312"/>
                <w:color w:val="000000"/>
                <w:kern w:val="0"/>
                <w:sz w:val="24"/>
              </w:rPr>
              <w:t>、海洋</w:t>
            </w:r>
            <w:r>
              <w:rPr>
                <w:rFonts w:ascii="Calibri" w:hAnsi="Calibri" w:eastAsia="仿宋_GB2312"/>
                <w:color w:val="000000"/>
                <w:kern w:val="0"/>
                <w:sz w:val="24"/>
              </w:rPr>
              <w:t>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防城港</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68（第一次11，其它各次19）</w:t>
            </w:r>
          </w:p>
        </w:tc>
        <w:tc>
          <w:tcPr>
            <w:tcW w:w="1560"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kern w:val="0"/>
                <w:sz w:val="24"/>
                <w:lang w:bidi="ar"/>
              </w:rPr>
              <w:t>30</w:t>
            </w:r>
            <w:r>
              <w:rPr>
                <w:rFonts w:hint="eastAsia" w:ascii="仿宋_GB2312" w:hAnsi="Calibri" w:eastAsia="仿宋_GB2312"/>
                <w:color w:val="000000"/>
                <w:sz w:val="24"/>
              </w:rPr>
              <w:t>（其中对虾24）</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防城港</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钦州</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64（第一次10，其它各次18）</w:t>
            </w:r>
          </w:p>
        </w:tc>
        <w:tc>
          <w:tcPr>
            <w:tcW w:w="1560"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kern w:val="0"/>
                <w:sz w:val="24"/>
                <w:lang w:bidi="ar"/>
              </w:rPr>
              <w:t>28</w:t>
            </w:r>
            <w:r>
              <w:rPr>
                <w:rFonts w:hint="eastAsia" w:ascii="仿宋_GB2312" w:hAnsi="Calibri" w:eastAsia="仿宋_GB2312"/>
                <w:color w:val="000000"/>
                <w:sz w:val="24"/>
              </w:rPr>
              <w:t>（其中对虾15）</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钦州</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贵港</w:t>
            </w:r>
          </w:p>
        </w:tc>
        <w:tc>
          <w:tcPr>
            <w:tcW w:w="1984" w:type="dxa"/>
            <w:noWrap w:val="0"/>
            <w:vAlign w:val="center"/>
          </w:tcPr>
          <w:p>
            <w:pPr>
              <w:jc w:val="center"/>
              <w:rPr>
                <w:rFonts w:ascii="仿宋_GB2312" w:hAnsi="Calibri" w:eastAsia="仿宋_GB2312"/>
                <w:color w:val="000000"/>
                <w:spacing w:val="1"/>
                <w:w w:val="85"/>
                <w:kern w:val="0"/>
                <w:sz w:val="24"/>
              </w:rPr>
            </w:pPr>
            <w:r>
              <w:rPr>
                <w:rFonts w:hint="eastAsia" w:ascii="仿宋_GB2312" w:hAnsi="Calibri" w:eastAsia="仿宋_GB2312"/>
                <w:color w:val="000000"/>
                <w:sz w:val="24"/>
              </w:rPr>
              <w:t>72（每次18）</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12</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贵港</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玉林</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76（每次19）</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18</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玉林</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百色</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48（每次12）</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10</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百色</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河池</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48（每次12）</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2</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河池</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来宾</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48（每次12）</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8</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来宾</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崇左</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48（每次12）</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10</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崇左</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贺州</w:t>
            </w:r>
          </w:p>
        </w:tc>
        <w:tc>
          <w:tcPr>
            <w:tcW w:w="1984"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48（每次12）</w:t>
            </w:r>
          </w:p>
        </w:tc>
        <w:tc>
          <w:tcPr>
            <w:tcW w:w="1560"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kern w:val="0"/>
                <w:sz w:val="24"/>
                <w:lang w:bidi="ar"/>
              </w:rPr>
              <w:t>2</w:t>
            </w:r>
          </w:p>
        </w:tc>
        <w:tc>
          <w:tcPr>
            <w:tcW w:w="2693" w:type="dxa"/>
            <w:noWrap w:val="0"/>
            <w:vAlign w:val="center"/>
          </w:tcPr>
          <w:p>
            <w:pPr>
              <w:jc w:val="center"/>
              <w:rPr>
                <w:rFonts w:ascii="Calibri" w:hAnsi="Calibri" w:eastAsia="仿宋_GB2312"/>
                <w:color w:val="000000"/>
                <w:sz w:val="24"/>
              </w:rPr>
            </w:pPr>
            <w:r>
              <w:rPr>
                <w:rFonts w:ascii="Calibri" w:hAnsi="Calibri" w:eastAsia="仿宋_GB2312"/>
                <w:color w:val="000000"/>
                <w:sz w:val="24"/>
              </w:rPr>
              <w:t>贺州</w:t>
            </w:r>
            <w:r>
              <w:rPr>
                <w:rFonts w:ascii="Calibri" w:hAnsi="Calibri" w:eastAsia="仿宋_GB2312"/>
                <w:color w:val="000000"/>
                <w:kern w:val="0"/>
                <w:sz w:val="24"/>
              </w:rPr>
              <w:t>市农业农村局</w:t>
            </w:r>
          </w:p>
        </w:tc>
        <w:tc>
          <w:tcPr>
            <w:tcW w:w="1701" w:type="dxa"/>
            <w:vMerge w:val="continue"/>
            <w:noWrap w:val="0"/>
            <w:vAlign w:val="center"/>
          </w:tcPr>
          <w:p>
            <w:pPr>
              <w:jc w:val="center"/>
              <w:rPr>
                <w:rFonts w:ascii="仿宋_GB2312"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pPr>
              <w:jc w:val="center"/>
              <w:rPr>
                <w:rFonts w:ascii="仿宋_GB2312" w:hAnsi="Calibri" w:eastAsia="仿宋_GB2312"/>
                <w:color w:val="000000"/>
                <w:sz w:val="24"/>
              </w:rPr>
            </w:pPr>
            <w:r>
              <w:rPr>
                <w:rFonts w:hint="eastAsia" w:ascii="仿宋_GB2312" w:hAnsi="Calibri" w:eastAsia="仿宋_GB2312"/>
                <w:color w:val="000000"/>
                <w:sz w:val="24"/>
              </w:rPr>
              <w:t>合计</w:t>
            </w:r>
          </w:p>
        </w:tc>
        <w:tc>
          <w:tcPr>
            <w:tcW w:w="1984" w:type="dxa"/>
            <w:noWrap w:val="0"/>
            <w:vAlign w:val="center"/>
          </w:tcPr>
          <w:p>
            <w:pPr>
              <w:widowControl/>
              <w:jc w:val="center"/>
              <w:textAlignment w:val="center"/>
              <w:rPr>
                <w:rFonts w:ascii="仿宋_GB2312" w:hAnsi="Calibri" w:eastAsia="仿宋_GB2312"/>
                <w:color w:val="000000"/>
                <w:sz w:val="24"/>
              </w:rPr>
            </w:pPr>
            <w:r>
              <w:rPr>
                <w:rFonts w:hint="eastAsia" w:ascii="仿宋_GB2312" w:hAnsi="Calibri" w:eastAsia="仿宋_GB2312"/>
                <w:color w:val="000000"/>
                <w:sz w:val="24"/>
              </w:rPr>
              <w:t>1000</w:t>
            </w:r>
          </w:p>
        </w:tc>
        <w:tc>
          <w:tcPr>
            <w:tcW w:w="1560" w:type="dxa"/>
            <w:noWrap w:val="0"/>
            <w:vAlign w:val="center"/>
          </w:tcPr>
          <w:p>
            <w:pPr>
              <w:widowControl/>
              <w:jc w:val="center"/>
              <w:textAlignment w:val="center"/>
              <w:rPr>
                <w:rFonts w:ascii="仿宋_GB2312" w:hAnsi="Calibri" w:eastAsia="仿宋_GB2312"/>
                <w:color w:val="000000"/>
                <w:kern w:val="0"/>
                <w:sz w:val="24"/>
                <w:lang w:bidi="ar"/>
              </w:rPr>
            </w:pPr>
            <w:r>
              <w:rPr>
                <w:rFonts w:hint="eastAsia" w:ascii="仿宋_GB2312" w:hAnsi="Calibri" w:eastAsia="仿宋_GB2312"/>
                <w:color w:val="000000"/>
                <w:kern w:val="0"/>
                <w:sz w:val="24"/>
                <w:lang w:bidi="ar"/>
              </w:rPr>
              <w:t>200</w:t>
            </w:r>
          </w:p>
        </w:tc>
        <w:tc>
          <w:tcPr>
            <w:tcW w:w="2693" w:type="dxa"/>
            <w:noWrap w:val="0"/>
            <w:vAlign w:val="center"/>
          </w:tcPr>
          <w:p>
            <w:pPr>
              <w:jc w:val="center"/>
              <w:rPr>
                <w:rFonts w:ascii="Calibri" w:hAnsi="Calibri" w:eastAsia="仿宋_GB2312"/>
                <w:color w:val="000000"/>
                <w:sz w:val="24"/>
              </w:rPr>
            </w:pPr>
            <w:r>
              <w:rPr>
                <w:rFonts w:hint="eastAsia" w:ascii="Calibri" w:hAnsi="Calibri" w:eastAsia="仿宋_GB2312"/>
                <w:color w:val="000000"/>
                <w:sz w:val="24"/>
              </w:rPr>
              <w:t>1200</w:t>
            </w:r>
          </w:p>
        </w:tc>
        <w:tc>
          <w:tcPr>
            <w:tcW w:w="1701" w:type="dxa"/>
            <w:noWrap w:val="0"/>
            <w:vAlign w:val="center"/>
          </w:tcPr>
          <w:p>
            <w:pPr>
              <w:jc w:val="center"/>
              <w:rPr>
                <w:rFonts w:ascii="仿宋_GB2312" w:hAnsi="Calibri" w:eastAsia="仿宋_GB2312"/>
                <w:color w:val="000000"/>
                <w:sz w:val="24"/>
              </w:rPr>
            </w:pPr>
          </w:p>
        </w:tc>
      </w:tr>
    </w:tbl>
    <w:p>
      <w:pPr>
        <w:spacing w:line="260" w:lineRule="exact"/>
        <w:ind w:firstLine="358" w:firstLineChars="199"/>
        <w:rPr>
          <w:rFonts w:eastAsia="仿宋_GB2312"/>
          <w:color w:val="000000"/>
          <w:sz w:val="18"/>
          <w:szCs w:val="18"/>
        </w:rPr>
      </w:pPr>
      <w:r>
        <w:rPr>
          <w:rFonts w:eastAsia="仿宋_GB2312"/>
          <w:color w:val="000000"/>
          <w:sz w:val="18"/>
          <w:szCs w:val="18"/>
        </w:rPr>
        <w:t>说明：</w:t>
      </w:r>
    </w:p>
    <w:p>
      <w:pPr>
        <w:spacing w:line="240" w:lineRule="exact"/>
        <w:ind w:firstLine="420" w:firstLineChars="200"/>
        <w:rPr>
          <w:rFonts w:eastAsia="仿宋_GB2312"/>
          <w:color w:val="000000"/>
          <w:szCs w:val="21"/>
        </w:rPr>
      </w:pPr>
      <w:r>
        <w:rPr>
          <w:rFonts w:eastAsia="仿宋_GB2312"/>
          <w:color w:val="000000"/>
          <w:szCs w:val="21"/>
        </w:rPr>
        <w:t>1. 水产</w:t>
      </w:r>
      <w:r>
        <w:rPr>
          <w:rFonts w:hint="eastAsia" w:eastAsia="仿宋_GB2312"/>
          <w:color w:val="000000"/>
          <w:szCs w:val="21"/>
        </w:rPr>
        <w:t>成</w:t>
      </w:r>
      <w:r>
        <w:rPr>
          <w:rFonts w:eastAsia="仿宋_GB2312"/>
          <w:color w:val="000000"/>
          <w:szCs w:val="21"/>
        </w:rPr>
        <w:t>品取肌肉部分，每个样品数量不得少于400g，其中一份用于检测，一份留样。</w:t>
      </w:r>
      <w:r>
        <w:rPr>
          <w:rFonts w:hint="eastAsia" w:eastAsia="仿宋_GB2312"/>
          <w:color w:val="000000"/>
          <w:szCs w:val="21"/>
        </w:rPr>
        <w:t>苗</w:t>
      </w:r>
      <w:r>
        <w:rPr>
          <w:rFonts w:eastAsia="仿宋_GB2312"/>
          <w:color w:val="000000"/>
          <w:szCs w:val="21"/>
        </w:rPr>
        <w:t>种</w:t>
      </w:r>
      <w:r>
        <w:rPr>
          <w:rFonts w:hint="eastAsia" w:eastAsia="仿宋_GB2312"/>
          <w:color w:val="000000"/>
          <w:szCs w:val="21"/>
        </w:rPr>
        <w:t>，每个样品数量不得少于200g，分成2份，其中一份用于检测，一份留样。</w:t>
      </w:r>
    </w:p>
    <w:p>
      <w:pPr>
        <w:spacing w:line="240" w:lineRule="exact"/>
        <w:ind w:firstLine="420" w:firstLineChars="200"/>
        <w:rPr>
          <w:rFonts w:eastAsia="仿宋_GB2312"/>
          <w:color w:val="000000"/>
          <w:szCs w:val="21"/>
        </w:rPr>
      </w:pPr>
      <w:r>
        <w:rPr>
          <w:rFonts w:eastAsia="仿宋_GB2312"/>
          <w:color w:val="000000"/>
          <w:szCs w:val="21"/>
        </w:rPr>
        <w:t>2．</w:t>
      </w:r>
      <w:r>
        <w:rPr>
          <w:rFonts w:hint="eastAsia" w:eastAsia="仿宋_GB2312"/>
          <w:color w:val="000000"/>
          <w:szCs w:val="21"/>
        </w:rPr>
        <w:t>除阳性结果的</w:t>
      </w:r>
      <w:r>
        <w:rPr>
          <w:rFonts w:eastAsia="仿宋_GB2312"/>
          <w:color w:val="000000"/>
          <w:szCs w:val="21"/>
        </w:rPr>
        <w:t>养殖场外</w:t>
      </w:r>
      <w:r>
        <w:rPr>
          <w:rFonts w:hint="eastAsia" w:eastAsia="仿宋_GB2312"/>
          <w:color w:val="000000"/>
          <w:szCs w:val="21"/>
        </w:rPr>
        <w:t>，一年内</w:t>
      </w:r>
      <w:r>
        <w:rPr>
          <w:rFonts w:eastAsia="仿宋_GB2312"/>
          <w:color w:val="000000"/>
          <w:szCs w:val="21"/>
        </w:rPr>
        <w:t>不能在同一地点重复抽样，每个被抽检单位最多只能抽取不同塘（池/网箱）的2个样品。</w:t>
      </w:r>
    </w:p>
    <w:p>
      <w:pPr>
        <w:spacing w:line="240" w:lineRule="exact"/>
        <w:ind w:firstLine="420" w:firstLineChars="200"/>
        <w:rPr>
          <w:rFonts w:eastAsia="仿宋_GB2312"/>
          <w:color w:val="000000"/>
          <w:szCs w:val="21"/>
        </w:rPr>
      </w:pPr>
      <w:r>
        <w:rPr>
          <w:rFonts w:eastAsia="仿宋_GB2312"/>
          <w:color w:val="000000"/>
          <w:szCs w:val="21"/>
        </w:rPr>
        <w:t>3．</w:t>
      </w:r>
      <w:r>
        <w:rPr>
          <w:rFonts w:hint="eastAsia" w:eastAsia="仿宋_GB2312"/>
          <w:color w:val="000000"/>
          <w:szCs w:val="21"/>
        </w:rPr>
        <w:t>苗</w:t>
      </w:r>
      <w:r>
        <w:rPr>
          <w:rFonts w:eastAsia="仿宋_GB2312"/>
          <w:color w:val="000000"/>
          <w:szCs w:val="21"/>
        </w:rPr>
        <w:t>种抽样、送样时间，原则上要求安排在第一批和第二批完成，确实无法完成抽样的，不足部分可以安排在第三批时完成。</w:t>
      </w:r>
    </w:p>
    <w:p>
      <w:pPr>
        <w:spacing w:line="400" w:lineRule="exact"/>
        <w:rPr>
          <w:rFonts w:eastAsia="仿宋_GB2312"/>
          <w:color w:val="000000"/>
          <w:sz w:val="32"/>
          <w:szCs w:val="32"/>
        </w:rPr>
        <w:sectPr>
          <w:pgSz w:w="11906" w:h="16838"/>
          <w:pgMar w:top="1440" w:right="1287" w:bottom="1440" w:left="1588" w:header="851" w:footer="992" w:gutter="0"/>
          <w:cols w:space="720" w:num="1"/>
          <w:docGrid w:linePitch="312" w:charSpace="0"/>
        </w:sectPr>
      </w:pPr>
    </w:p>
    <w:p>
      <w:pPr>
        <w:rPr>
          <w:rFonts w:hint="eastAsia" w:eastAsia="黑体"/>
          <w:color w:val="000000"/>
          <w:sz w:val="32"/>
          <w:szCs w:val="32"/>
        </w:rPr>
      </w:pPr>
      <w:r>
        <w:rPr>
          <w:rFonts w:eastAsia="黑体"/>
          <w:color w:val="000000"/>
          <w:sz w:val="32"/>
          <w:szCs w:val="32"/>
        </w:rPr>
        <w:t>附件2</w:t>
      </w:r>
    </w:p>
    <w:p>
      <w:pPr>
        <w:rPr>
          <w:rFonts w:eastAsia="黑体"/>
          <w:color w:val="000000"/>
          <w:sz w:val="30"/>
          <w:szCs w:val="30"/>
        </w:rPr>
      </w:pPr>
    </w:p>
    <w:p>
      <w:pPr>
        <w:ind w:firstLine="1650" w:firstLineChars="550"/>
        <w:rPr>
          <w:rFonts w:eastAsia="方正小标宋简体"/>
          <w:color w:val="000000"/>
          <w:sz w:val="44"/>
          <w:szCs w:val="44"/>
        </w:rPr>
      </w:pPr>
      <w:r>
        <w:rPr>
          <w:rFonts w:eastAsia="仿宋_GB2312"/>
          <w:color w:val="000000"/>
          <w:sz w:val="30"/>
          <w:szCs w:val="30"/>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方正小标宋简体"/>
          <w:color w:val="000000"/>
          <w:sz w:val="44"/>
          <w:szCs w:val="44"/>
        </w:rPr>
        <w:t>市抽样、送样工作情况记录表</w:t>
      </w:r>
    </w:p>
    <w:tbl>
      <w:tblPr>
        <w:tblStyle w:val="4"/>
        <w:tblpPr w:leftFromText="180" w:rightFromText="180" w:vertAnchor="text" w:horzAnchor="margin" w:tblpY="413"/>
        <w:tblW w:w="13188"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851"/>
        <w:gridCol w:w="709"/>
        <w:gridCol w:w="992"/>
        <w:gridCol w:w="850"/>
        <w:gridCol w:w="851"/>
        <w:gridCol w:w="850"/>
        <w:gridCol w:w="993"/>
        <w:gridCol w:w="708"/>
        <w:gridCol w:w="709"/>
        <w:gridCol w:w="992"/>
        <w:gridCol w:w="868"/>
        <w:gridCol w:w="19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572" w:type="dxa"/>
            <w:vMerge w:val="restart"/>
            <w:noWrap w:val="0"/>
            <w:vAlign w:val="center"/>
          </w:tcPr>
          <w:p>
            <w:pPr>
              <w:spacing w:line="240" w:lineRule="exact"/>
              <w:jc w:val="center"/>
              <w:rPr>
                <w:rFonts w:eastAsia="仿宋_GB2312"/>
                <w:color w:val="000000"/>
              </w:rPr>
            </w:pPr>
            <w:r>
              <w:rPr>
                <w:rFonts w:eastAsia="仿宋_GB2312"/>
                <w:color w:val="000000"/>
              </w:rPr>
              <w:t>送样单位</w:t>
            </w:r>
          </w:p>
        </w:tc>
        <w:tc>
          <w:tcPr>
            <w:tcW w:w="851" w:type="dxa"/>
            <w:vMerge w:val="restart"/>
            <w:noWrap w:val="0"/>
            <w:vAlign w:val="center"/>
          </w:tcPr>
          <w:p>
            <w:pPr>
              <w:spacing w:line="240" w:lineRule="exact"/>
              <w:jc w:val="center"/>
              <w:rPr>
                <w:rFonts w:eastAsia="仿宋_GB2312"/>
                <w:color w:val="000000"/>
              </w:rPr>
            </w:pPr>
            <w:r>
              <w:rPr>
                <w:rFonts w:eastAsia="仿宋_GB2312"/>
                <w:color w:val="000000"/>
              </w:rPr>
              <w:t>送样人</w:t>
            </w:r>
          </w:p>
        </w:tc>
        <w:tc>
          <w:tcPr>
            <w:tcW w:w="709" w:type="dxa"/>
            <w:vMerge w:val="restart"/>
            <w:noWrap w:val="0"/>
            <w:tcMar>
              <w:top w:w="30" w:type="dxa"/>
              <w:left w:w="75" w:type="dxa"/>
              <w:bottom w:w="30" w:type="dxa"/>
              <w:right w:w="75" w:type="dxa"/>
            </w:tcMar>
            <w:vAlign w:val="center"/>
          </w:tcPr>
          <w:p>
            <w:pPr>
              <w:spacing w:line="240" w:lineRule="exact"/>
              <w:jc w:val="center"/>
              <w:rPr>
                <w:rFonts w:eastAsia="仿宋_GB2312"/>
                <w:color w:val="000000"/>
              </w:rPr>
            </w:pPr>
            <w:r>
              <w:rPr>
                <w:rFonts w:eastAsia="仿宋_GB2312"/>
                <w:color w:val="000000"/>
              </w:rPr>
              <w:t>送样时间</w:t>
            </w:r>
          </w:p>
        </w:tc>
        <w:tc>
          <w:tcPr>
            <w:tcW w:w="992" w:type="dxa"/>
            <w:vMerge w:val="restart"/>
            <w:noWrap w:val="0"/>
            <w:tcMar>
              <w:top w:w="30" w:type="dxa"/>
              <w:left w:w="75" w:type="dxa"/>
              <w:bottom w:w="30" w:type="dxa"/>
              <w:right w:w="75" w:type="dxa"/>
            </w:tcMar>
            <w:vAlign w:val="center"/>
          </w:tcPr>
          <w:p>
            <w:pPr>
              <w:spacing w:line="240" w:lineRule="exact"/>
              <w:jc w:val="center"/>
              <w:rPr>
                <w:rFonts w:eastAsia="仿宋_GB2312"/>
                <w:color w:val="000000"/>
              </w:rPr>
            </w:pPr>
            <w:r>
              <w:rPr>
                <w:rFonts w:eastAsia="仿宋_GB2312"/>
                <w:color w:val="000000"/>
              </w:rPr>
              <w:t>应送样时间</w:t>
            </w:r>
          </w:p>
        </w:tc>
        <w:tc>
          <w:tcPr>
            <w:tcW w:w="850" w:type="dxa"/>
            <w:vMerge w:val="restart"/>
            <w:noWrap w:val="0"/>
            <w:vAlign w:val="center"/>
          </w:tcPr>
          <w:p>
            <w:pPr>
              <w:spacing w:line="240" w:lineRule="exact"/>
              <w:jc w:val="center"/>
              <w:rPr>
                <w:rFonts w:eastAsia="仿宋_GB2312"/>
                <w:color w:val="000000"/>
              </w:rPr>
            </w:pPr>
            <w:r>
              <w:rPr>
                <w:rFonts w:eastAsia="仿宋_GB2312"/>
                <w:color w:val="000000"/>
              </w:rPr>
              <w:t>送样品数</w:t>
            </w:r>
          </w:p>
        </w:tc>
        <w:tc>
          <w:tcPr>
            <w:tcW w:w="851" w:type="dxa"/>
            <w:vMerge w:val="restart"/>
            <w:noWrap w:val="0"/>
            <w:tcMar>
              <w:top w:w="30" w:type="dxa"/>
              <w:left w:w="75" w:type="dxa"/>
              <w:bottom w:w="30" w:type="dxa"/>
              <w:right w:w="75" w:type="dxa"/>
            </w:tcMar>
            <w:vAlign w:val="center"/>
          </w:tcPr>
          <w:p>
            <w:pPr>
              <w:spacing w:line="240" w:lineRule="exact"/>
              <w:jc w:val="center"/>
              <w:rPr>
                <w:rFonts w:eastAsia="仿宋_GB2312"/>
                <w:color w:val="000000"/>
              </w:rPr>
            </w:pPr>
            <w:r>
              <w:rPr>
                <w:rFonts w:eastAsia="仿宋_GB2312"/>
                <w:color w:val="000000"/>
              </w:rPr>
              <w:t>应送样品数</w:t>
            </w:r>
          </w:p>
        </w:tc>
        <w:tc>
          <w:tcPr>
            <w:tcW w:w="850" w:type="dxa"/>
            <w:vMerge w:val="restart"/>
            <w:noWrap w:val="0"/>
            <w:vAlign w:val="center"/>
          </w:tcPr>
          <w:p>
            <w:pPr>
              <w:spacing w:line="240" w:lineRule="exact"/>
              <w:jc w:val="center"/>
              <w:rPr>
                <w:rFonts w:eastAsia="仿宋_GB2312"/>
                <w:color w:val="000000"/>
              </w:rPr>
            </w:pPr>
            <w:r>
              <w:rPr>
                <w:rFonts w:eastAsia="仿宋_GB2312"/>
                <w:color w:val="000000"/>
              </w:rPr>
              <w:t>符合要求的样品数</w:t>
            </w:r>
          </w:p>
        </w:tc>
        <w:tc>
          <w:tcPr>
            <w:tcW w:w="993" w:type="dxa"/>
            <w:vMerge w:val="restart"/>
            <w:noWrap w:val="0"/>
            <w:tcMar>
              <w:top w:w="30" w:type="dxa"/>
              <w:left w:w="75" w:type="dxa"/>
              <w:bottom w:w="30" w:type="dxa"/>
              <w:right w:w="75" w:type="dxa"/>
            </w:tcMar>
            <w:vAlign w:val="center"/>
          </w:tcPr>
          <w:p>
            <w:pPr>
              <w:spacing w:line="240" w:lineRule="exact"/>
              <w:jc w:val="center"/>
              <w:rPr>
                <w:rFonts w:eastAsia="仿宋_GB2312"/>
                <w:color w:val="000000"/>
              </w:rPr>
            </w:pPr>
            <w:r>
              <w:rPr>
                <w:rFonts w:eastAsia="仿宋_GB2312"/>
                <w:color w:val="000000"/>
              </w:rPr>
              <w:t>不符合要求的样品数</w:t>
            </w:r>
          </w:p>
        </w:tc>
        <w:tc>
          <w:tcPr>
            <w:tcW w:w="708" w:type="dxa"/>
            <w:vMerge w:val="restart"/>
            <w:noWrap w:val="0"/>
            <w:vAlign w:val="center"/>
          </w:tcPr>
          <w:p>
            <w:pPr>
              <w:widowControl/>
              <w:spacing w:line="320" w:lineRule="exact"/>
              <w:jc w:val="left"/>
              <w:rPr>
                <w:rFonts w:eastAsia="仿宋_GB2312"/>
                <w:color w:val="000000"/>
              </w:rPr>
            </w:pPr>
            <w:r>
              <w:rPr>
                <w:rFonts w:eastAsia="仿宋_GB2312"/>
                <w:color w:val="000000"/>
              </w:rPr>
              <w:t>退回样品数</w:t>
            </w:r>
          </w:p>
          <w:p>
            <w:pPr>
              <w:spacing w:line="320" w:lineRule="exact"/>
              <w:rPr>
                <w:rFonts w:eastAsia="仿宋_GB2312"/>
                <w:color w:val="000000"/>
              </w:rPr>
            </w:pPr>
          </w:p>
        </w:tc>
        <w:tc>
          <w:tcPr>
            <w:tcW w:w="709" w:type="dxa"/>
            <w:vMerge w:val="restart"/>
            <w:noWrap w:val="0"/>
            <w:vAlign w:val="center"/>
          </w:tcPr>
          <w:p>
            <w:pPr>
              <w:widowControl/>
              <w:spacing w:line="320" w:lineRule="exact"/>
              <w:jc w:val="left"/>
              <w:rPr>
                <w:rFonts w:eastAsia="仿宋_GB2312"/>
                <w:color w:val="000000"/>
              </w:rPr>
            </w:pPr>
            <w:r>
              <w:rPr>
                <w:rFonts w:eastAsia="仿宋_GB2312"/>
                <w:color w:val="000000"/>
              </w:rPr>
              <w:t>收下样品数</w:t>
            </w:r>
          </w:p>
          <w:p>
            <w:pPr>
              <w:spacing w:line="320" w:lineRule="exact"/>
              <w:rPr>
                <w:rFonts w:eastAsia="仿宋_GB2312"/>
                <w:color w:val="000000"/>
              </w:rPr>
            </w:pPr>
          </w:p>
        </w:tc>
        <w:tc>
          <w:tcPr>
            <w:tcW w:w="3827" w:type="dxa"/>
            <w:gridSpan w:val="3"/>
            <w:noWrap w:val="0"/>
            <w:vAlign w:val="center"/>
          </w:tcPr>
          <w:p>
            <w:pPr>
              <w:spacing w:line="240" w:lineRule="exact"/>
              <w:jc w:val="center"/>
              <w:rPr>
                <w:rFonts w:eastAsia="仿宋_GB2312"/>
                <w:color w:val="000000"/>
              </w:rPr>
            </w:pPr>
            <w:r>
              <w:rPr>
                <w:rFonts w:eastAsia="仿宋_GB2312"/>
                <w:color w:val="000000"/>
              </w:rPr>
              <w:t>不符合要求样品的情况</w:t>
            </w:r>
          </w:p>
        </w:tc>
        <w:tc>
          <w:tcPr>
            <w:tcW w:w="1276" w:type="dxa"/>
            <w:vMerge w:val="restart"/>
            <w:noWrap w:val="0"/>
            <w:tcMar>
              <w:top w:w="30" w:type="dxa"/>
              <w:left w:w="75" w:type="dxa"/>
              <w:bottom w:w="30" w:type="dxa"/>
              <w:right w:w="75" w:type="dxa"/>
            </w:tcMar>
            <w:vAlign w:val="center"/>
          </w:tcPr>
          <w:p>
            <w:pPr>
              <w:spacing w:line="240" w:lineRule="exact"/>
              <w:jc w:val="center"/>
              <w:rPr>
                <w:rFonts w:eastAsia="仿宋_GB2312"/>
                <w:color w:val="000000"/>
              </w:rPr>
            </w:pPr>
            <w:r>
              <w:rPr>
                <w:rFonts w:eastAsia="仿宋_GB2312"/>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72" w:type="dxa"/>
            <w:vMerge w:val="continue"/>
            <w:noWrap w:val="0"/>
            <w:vAlign w:val="center"/>
          </w:tcPr>
          <w:p>
            <w:pPr>
              <w:spacing w:line="240" w:lineRule="exact"/>
              <w:jc w:val="center"/>
              <w:rPr>
                <w:rFonts w:eastAsia="仿宋_GB2312"/>
                <w:color w:val="000000"/>
              </w:rPr>
            </w:pPr>
          </w:p>
        </w:tc>
        <w:tc>
          <w:tcPr>
            <w:tcW w:w="851" w:type="dxa"/>
            <w:vMerge w:val="continue"/>
            <w:noWrap w:val="0"/>
            <w:vAlign w:val="center"/>
          </w:tcPr>
          <w:p>
            <w:pPr>
              <w:spacing w:line="240" w:lineRule="exact"/>
              <w:jc w:val="center"/>
              <w:rPr>
                <w:rFonts w:eastAsia="仿宋_GB2312"/>
                <w:color w:val="000000"/>
              </w:rPr>
            </w:pPr>
          </w:p>
        </w:tc>
        <w:tc>
          <w:tcPr>
            <w:tcW w:w="709" w:type="dxa"/>
            <w:vMerge w:val="continue"/>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992" w:type="dxa"/>
            <w:vMerge w:val="continue"/>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vMerge w:val="continue"/>
            <w:noWrap w:val="0"/>
            <w:vAlign w:val="center"/>
          </w:tcPr>
          <w:p>
            <w:pPr>
              <w:spacing w:line="240" w:lineRule="exact"/>
              <w:jc w:val="center"/>
              <w:rPr>
                <w:rFonts w:eastAsia="仿宋_GB2312"/>
                <w:color w:val="000000"/>
              </w:rPr>
            </w:pPr>
          </w:p>
        </w:tc>
        <w:tc>
          <w:tcPr>
            <w:tcW w:w="851" w:type="dxa"/>
            <w:vMerge w:val="continue"/>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vMerge w:val="continue"/>
            <w:noWrap w:val="0"/>
            <w:vAlign w:val="center"/>
          </w:tcPr>
          <w:p>
            <w:pPr>
              <w:spacing w:line="240" w:lineRule="exact"/>
              <w:jc w:val="center"/>
              <w:rPr>
                <w:rFonts w:eastAsia="仿宋_GB2312"/>
                <w:color w:val="000000"/>
              </w:rPr>
            </w:pPr>
          </w:p>
        </w:tc>
        <w:tc>
          <w:tcPr>
            <w:tcW w:w="993" w:type="dxa"/>
            <w:vMerge w:val="continue"/>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8" w:type="dxa"/>
            <w:vMerge w:val="continue"/>
            <w:noWrap w:val="0"/>
            <w:vAlign w:val="center"/>
          </w:tcPr>
          <w:p>
            <w:pPr>
              <w:widowControl/>
              <w:jc w:val="left"/>
              <w:rPr>
                <w:rFonts w:eastAsia="仿宋_GB2312"/>
                <w:color w:val="000000"/>
              </w:rPr>
            </w:pPr>
          </w:p>
        </w:tc>
        <w:tc>
          <w:tcPr>
            <w:tcW w:w="709" w:type="dxa"/>
            <w:vMerge w:val="continue"/>
            <w:noWrap w:val="0"/>
            <w:vAlign w:val="center"/>
          </w:tcPr>
          <w:p>
            <w:pPr>
              <w:widowControl/>
              <w:jc w:val="left"/>
              <w:rPr>
                <w:rFonts w:eastAsia="仿宋_GB2312"/>
                <w:color w:val="000000"/>
              </w:rPr>
            </w:pPr>
          </w:p>
        </w:tc>
        <w:tc>
          <w:tcPr>
            <w:tcW w:w="992" w:type="dxa"/>
            <w:noWrap w:val="0"/>
            <w:vAlign w:val="center"/>
          </w:tcPr>
          <w:p>
            <w:pPr>
              <w:spacing w:line="240" w:lineRule="exact"/>
              <w:jc w:val="center"/>
              <w:rPr>
                <w:rFonts w:eastAsia="仿宋_GB2312"/>
                <w:color w:val="000000"/>
              </w:rPr>
            </w:pPr>
            <w:r>
              <w:rPr>
                <w:rFonts w:eastAsia="仿宋_GB2312"/>
                <w:color w:val="000000"/>
              </w:rPr>
              <w:t>样品编号</w:t>
            </w:r>
          </w:p>
        </w:tc>
        <w:tc>
          <w:tcPr>
            <w:tcW w:w="868" w:type="dxa"/>
            <w:noWrap w:val="0"/>
            <w:vAlign w:val="center"/>
          </w:tcPr>
          <w:p>
            <w:pPr>
              <w:spacing w:line="240" w:lineRule="exact"/>
              <w:jc w:val="center"/>
              <w:rPr>
                <w:rFonts w:eastAsia="仿宋_GB2312"/>
                <w:color w:val="000000"/>
              </w:rPr>
            </w:pPr>
            <w:r>
              <w:rPr>
                <w:rFonts w:eastAsia="仿宋_GB2312"/>
                <w:color w:val="000000"/>
              </w:rPr>
              <w:t>抽样人</w:t>
            </w:r>
          </w:p>
        </w:tc>
        <w:tc>
          <w:tcPr>
            <w:tcW w:w="1967" w:type="dxa"/>
            <w:noWrap w:val="0"/>
            <w:vAlign w:val="center"/>
          </w:tcPr>
          <w:p>
            <w:pPr>
              <w:spacing w:line="240" w:lineRule="exact"/>
              <w:jc w:val="center"/>
              <w:rPr>
                <w:rFonts w:eastAsia="仿宋_GB2312"/>
                <w:color w:val="000000"/>
              </w:rPr>
            </w:pPr>
            <w:r>
              <w:rPr>
                <w:rFonts w:eastAsia="仿宋_GB2312"/>
                <w:color w:val="000000"/>
              </w:rPr>
              <w:t>不合格情况描述</w:t>
            </w:r>
          </w:p>
        </w:tc>
        <w:tc>
          <w:tcPr>
            <w:tcW w:w="1276" w:type="dxa"/>
            <w:vMerge w:val="continue"/>
            <w:noWrap w:val="0"/>
            <w:tcMar>
              <w:top w:w="30" w:type="dxa"/>
              <w:left w:w="75" w:type="dxa"/>
              <w:bottom w:w="30" w:type="dxa"/>
              <w:right w:w="75" w:type="dxa"/>
            </w:tcMar>
            <w:vAlign w:val="center"/>
          </w:tcPr>
          <w:p>
            <w:pPr>
              <w:spacing w:line="24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72" w:type="dxa"/>
            <w:noWrap w:val="0"/>
            <w:tcMar>
              <w:top w:w="30" w:type="dxa"/>
              <w:left w:w="75" w:type="dxa"/>
              <w:bottom w:w="30" w:type="dxa"/>
              <w:right w:w="75" w:type="dxa"/>
            </w:tcMar>
            <w:vAlign w:val="center"/>
          </w:tcPr>
          <w:p>
            <w:pPr>
              <w:spacing w:line="240" w:lineRule="exact"/>
              <w:jc w:val="center"/>
              <w:rPr>
                <w:rFonts w:eastAsia="仿宋_GB2312"/>
                <w:color w:val="000000"/>
              </w:rPr>
            </w:pPr>
          </w:p>
          <w:p>
            <w:pPr>
              <w:spacing w:line="240" w:lineRule="exact"/>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9"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992"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993"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8" w:type="dxa"/>
            <w:noWrap w:val="0"/>
            <w:vAlign w:val="center"/>
          </w:tcPr>
          <w:p>
            <w:pPr>
              <w:spacing w:line="240" w:lineRule="exact"/>
              <w:jc w:val="center"/>
              <w:rPr>
                <w:rFonts w:eastAsia="仿宋_GB2312"/>
                <w:color w:val="000000"/>
              </w:rPr>
            </w:pPr>
          </w:p>
        </w:tc>
        <w:tc>
          <w:tcPr>
            <w:tcW w:w="709" w:type="dxa"/>
            <w:noWrap w:val="0"/>
            <w:vAlign w:val="center"/>
          </w:tcPr>
          <w:p>
            <w:pPr>
              <w:spacing w:line="240" w:lineRule="exact"/>
              <w:jc w:val="center"/>
              <w:rPr>
                <w:rFonts w:eastAsia="仿宋_GB2312"/>
                <w:color w:val="000000"/>
              </w:rPr>
            </w:pPr>
          </w:p>
        </w:tc>
        <w:tc>
          <w:tcPr>
            <w:tcW w:w="992" w:type="dxa"/>
            <w:noWrap w:val="0"/>
            <w:vAlign w:val="center"/>
          </w:tcPr>
          <w:p>
            <w:pPr>
              <w:spacing w:line="240" w:lineRule="exact"/>
              <w:jc w:val="center"/>
              <w:rPr>
                <w:rFonts w:eastAsia="仿宋_GB2312"/>
                <w:color w:val="000000"/>
              </w:rPr>
            </w:pPr>
          </w:p>
        </w:tc>
        <w:tc>
          <w:tcPr>
            <w:tcW w:w="868" w:type="dxa"/>
            <w:noWrap w:val="0"/>
            <w:vAlign w:val="center"/>
          </w:tcPr>
          <w:p>
            <w:pPr>
              <w:spacing w:line="240" w:lineRule="exact"/>
              <w:jc w:val="center"/>
              <w:rPr>
                <w:rFonts w:eastAsia="仿宋_GB2312"/>
                <w:color w:val="000000"/>
              </w:rPr>
            </w:pPr>
          </w:p>
        </w:tc>
        <w:tc>
          <w:tcPr>
            <w:tcW w:w="1967" w:type="dxa"/>
            <w:noWrap w:val="0"/>
            <w:vAlign w:val="center"/>
          </w:tcPr>
          <w:p>
            <w:pPr>
              <w:spacing w:line="240" w:lineRule="exact"/>
              <w:jc w:val="center"/>
              <w:rPr>
                <w:rFonts w:eastAsia="仿宋_GB2312"/>
                <w:color w:val="000000"/>
              </w:rPr>
            </w:pPr>
          </w:p>
        </w:tc>
        <w:tc>
          <w:tcPr>
            <w:tcW w:w="1276" w:type="dxa"/>
            <w:noWrap w:val="0"/>
            <w:tcMar>
              <w:top w:w="30" w:type="dxa"/>
              <w:left w:w="75" w:type="dxa"/>
              <w:bottom w:w="30" w:type="dxa"/>
              <w:right w:w="75" w:type="dxa"/>
            </w:tcMar>
            <w:vAlign w:val="center"/>
          </w:tcPr>
          <w:p>
            <w:pPr>
              <w:spacing w:line="24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2" w:type="dxa"/>
            <w:noWrap w:val="0"/>
            <w:tcMar>
              <w:top w:w="30" w:type="dxa"/>
              <w:left w:w="75" w:type="dxa"/>
              <w:bottom w:w="30" w:type="dxa"/>
              <w:right w:w="75" w:type="dxa"/>
            </w:tcMar>
            <w:vAlign w:val="center"/>
          </w:tcPr>
          <w:p>
            <w:pPr>
              <w:spacing w:line="240" w:lineRule="exact"/>
              <w:jc w:val="center"/>
              <w:rPr>
                <w:rFonts w:eastAsia="仿宋_GB2312"/>
                <w:color w:val="000000"/>
              </w:rPr>
            </w:pPr>
          </w:p>
          <w:p>
            <w:pPr>
              <w:spacing w:line="240" w:lineRule="exact"/>
              <w:jc w:val="center"/>
              <w:rPr>
                <w:rFonts w:eastAsia="仿宋_GB2312"/>
                <w:color w:val="000000"/>
              </w:rPr>
            </w:pPr>
          </w:p>
          <w:p>
            <w:pPr>
              <w:spacing w:line="240" w:lineRule="exact"/>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9"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992"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993"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8" w:type="dxa"/>
            <w:noWrap w:val="0"/>
            <w:vAlign w:val="center"/>
          </w:tcPr>
          <w:p>
            <w:pPr>
              <w:spacing w:line="240" w:lineRule="exact"/>
              <w:jc w:val="center"/>
              <w:rPr>
                <w:rFonts w:eastAsia="仿宋_GB2312"/>
                <w:color w:val="000000"/>
              </w:rPr>
            </w:pPr>
          </w:p>
        </w:tc>
        <w:tc>
          <w:tcPr>
            <w:tcW w:w="709" w:type="dxa"/>
            <w:noWrap w:val="0"/>
            <w:vAlign w:val="center"/>
          </w:tcPr>
          <w:p>
            <w:pPr>
              <w:spacing w:line="240" w:lineRule="exact"/>
              <w:jc w:val="center"/>
              <w:rPr>
                <w:rFonts w:eastAsia="仿宋_GB2312"/>
                <w:color w:val="000000"/>
              </w:rPr>
            </w:pPr>
          </w:p>
        </w:tc>
        <w:tc>
          <w:tcPr>
            <w:tcW w:w="992" w:type="dxa"/>
            <w:noWrap w:val="0"/>
            <w:vAlign w:val="center"/>
          </w:tcPr>
          <w:p>
            <w:pPr>
              <w:spacing w:line="240" w:lineRule="exact"/>
              <w:jc w:val="center"/>
              <w:rPr>
                <w:rFonts w:eastAsia="仿宋_GB2312"/>
                <w:color w:val="000000"/>
              </w:rPr>
            </w:pPr>
          </w:p>
        </w:tc>
        <w:tc>
          <w:tcPr>
            <w:tcW w:w="868" w:type="dxa"/>
            <w:noWrap w:val="0"/>
            <w:vAlign w:val="center"/>
          </w:tcPr>
          <w:p>
            <w:pPr>
              <w:spacing w:line="240" w:lineRule="exact"/>
              <w:jc w:val="center"/>
              <w:rPr>
                <w:rFonts w:eastAsia="仿宋_GB2312"/>
                <w:color w:val="000000"/>
              </w:rPr>
            </w:pPr>
          </w:p>
        </w:tc>
        <w:tc>
          <w:tcPr>
            <w:tcW w:w="1967" w:type="dxa"/>
            <w:noWrap w:val="0"/>
            <w:vAlign w:val="center"/>
          </w:tcPr>
          <w:p>
            <w:pPr>
              <w:spacing w:line="240" w:lineRule="exact"/>
              <w:jc w:val="center"/>
              <w:rPr>
                <w:rFonts w:eastAsia="仿宋_GB2312"/>
                <w:color w:val="000000"/>
              </w:rPr>
            </w:pPr>
          </w:p>
        </w:tc>
        <w:tc>
          <w:tcPr>
            <w:tcW w:w="1276" w:type="dxa"/>
            <w:noWrap w:val="0"/>
            <w:tcMar>
              <w:top w:w="30" w:type="dxa"/>
              <w:left w:w="75" w:type="dxa"/>
              <w:bottom w:w="30" w:type="dxa"/>
              <w:right w:w="75" w:type="dxa"/>
            </w:tcMar>
            <w:vAlign w:val="center"/>
          </w:tcPr>
          <w:p>
            <w:pPr>
              <w:spacing w:line="24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572" w:type="dxa"/>
            <w:noWrap w:val="0"/>
            <w:tcMar>
              <w:top w:w="30" w:type="dxa"/>
              <w:left w:w="75" w:type="dxa"/>
              <w:bottom w:w="30" w:type="dxa"/>
              <w:right w:w="75" w:type="dxa"/>
            </w:tcMar>
            <w:vAlign w:val="center"/>
          </w:tcPr>
          <w:p>
            <w:pPr>
              <w:spacing w:line="240" w:lineRule="exact"/>
              <w:jc w:val="center"/>
              <w:rPr>
                <w:rFonts w:eastAsia="仿宋_GB2312"/>
                <w:color w:val="000000"/>
              </w:rPr>
            </w:pPr>
          </w:p>
          <w:p>
            <w:pPr>
              <w:spacing w:line="240" w:lineRule="exact"/>
              <w:jc w:val="center"/>
              <w:rPr>
                <w:rFonts w:eastAsia="仿宋_GB2312"/>
                <w:color w:val="000000"/>
              </w:rPr>
            </w:pPr>
          </w:p>
          <w:p>
            <w:pPr>
              <w:spacing w:line="240" w:lineRule="exact"/>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9"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992"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993"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8" w:type="dxa"/>
            <w:noWrap w:val="0"/>
            <w:vAlign w:val="center"/>
          </w:tcPr>
          <w:p>
            <w:pPr>
              <w:spacing w:line="240" w:lineRule="exact"/>
              <w:jc w:val="center"/>
              <w:rPr>
                <w:rFonts w:eastAsia="仿宋_GB2312"/>
                <w:color w:val="000000"/>
              </w:rPr>
            </w:pPr>
          </w:p>
        </w:tc>
        <w:tc>
          <w:tcPr>
            <w:tcW w:w="709" w:type="dxa"/>
            <w:noWrap w:val="0"/>
            <w:vAlign w:val="center"/>
          </w:tcPr>
          <w:p>
            <w:pPr>
              <w:spacing w:line="240" w:lineRule="exact"/>
              <w:jc w:val="center"/>
              <w:rPr>
                <w:rFonts w:eastAsia="仿宋_GB2312"/>
                <w:color w:val="000000"/>
              </w:rPr>
            </w:pPr>
          </w:p>
        </w:tc>
        <w:tc>
          <w:tcPr>
            <w:tcW w:w="992" w:type="dxa"/>
            <w:noWrap w:val="0"/>
            <w:vAlign w:val="center"/>
          </w:tcPr>
          <w:p>
            <w:pPr>
              <w:spacing w:line="240" w:lineRule="exact"/>
              <w:jc w:val="center"/>
              <w:rPr>
                <w:rFonts w:eastAsia="仿宋_GB2312"/>
                <w:color w:val="000000"/>
              </w:rPr>
            </w:pPr>
          </w:p>
        </w:tc>
        <w:tc>
          <w:tcPr>
            <w:tcW w:w="868" w:type="dxa"/>
            <w:noWrap w:val="0"/>
            <w:vAlign w:val="center"/>
          </w:tcPr>
          <w:p>
            <w:pPr>
              <w:spacing w:line="240" w:lineRule="exact"/>
              <w:jc w:val="center"/>
              <w:rPr>
                <w:rFonts w:eastAsia="仿宋_GB2312"/>
                <w:color w:val="000000"/>
              </w:rPr>
            </w:pPr>
          </w:p>
        </w:tc>
        <w:tc>
          <w:tcPr>
            <w:tcW w:w="1967" w:type="dxa"/>
            <w:noWrap w:val="0"/>
            <w:vAlign w:val="center"/>
          </w:tcPr>
          <w:p>
            <w:pPr>
              <w:spacing w:line="240" w:lineRule="exact"/>
              <w:jc w:val="center"/>
              <w:rPr>
                <w:rFonts w:eastAsia="仿宋_GB2312"/>
                <w:color w:val="000000"/>
              </w:rPr>
            </w:pPr>
          </w:p>
        </w:tc>
        <w:tc>
          <w:tcPr>
            <w:tcW w:w="1276" w:type="dxa"/>
            <w:noWrap w:val="0"/>
            <w:tcMar>
              <w:top w:w="30" w:type="dxa"/>
              <w:left w:w="75" w:type="dxa"/>
              <w:bottom w:w="30" w:type="dxa"/>
              <w:right w:w="75" w:type="dxa"/>
            </w:tcMar>
            <w:vAlign w:val="center"/>
          </w:tcPr>
          <w:p>
            <w:pPr>
              <w:spacing w:line="24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2" w:type="dxa"/>
            <w:noWrap w:val="0"/>
            <w:tcMar>
              <w:top w:w="30" w:type="dxa"/>
              <w:left w:w="75" w:type="dxa"/>
              <w:bottom w:w="30" w:type="dxa"/>
              <w:right w:w="75" w:type="dxa"/>
            </w:tcMar>
            <w:vAlign w:val="center"/>
          </w:tcPr>
          <w:p>
            <w:pPr>
              <w:spacing w:line="240" w:lineRule="exact"/>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9"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992"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851"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850" w:type="dxa"/>
            <w:noWrap w:val="0"/>
            <w:vAlign w:val="center"/>
          </w:tcPr>
          <w:p>
            <w:pPr>
              <w:spacing w:line="240" w:lineRule="exact"/>
              <w:jc w:val="center"/>
              <w:rPr>
                <w:rFonts w:eastAsia="仿宋_GB2312"/>
                <w:color w:val="000000"/>
              </w:rPr>
            </w:pPr>
          </w:p>
        </w:tc>
        <w:tc>
          <w:tcPr>
            <w:tcW w:w="993" w:type="dxa"/>
            <w:noWrap w:val="0"/>
            <w:tcMar>
              <w:top w:w="30" w:type="dxa"/>
              <w:left w:w="75" w:type="dxa"/>
              <w:bottom w:w="30" w:type="dxa"/>
              <w:right w:w="75" w:type="dxa"/>
            </w:tcMar>
            <w:vAlign w:val="center"/>
          </w:tcPr>
          <w:p>
            <w:pPr>
              <w:spacing w:line="240" w:lineRule="exact"/>
              <w:jc w:val="center"/>
              <w:rPr>
                <w:rFonts w:eastAsia="仿宋_GB2312"/>
                <w:color w:val="000000"/>
              </w:rPr>
            </w:pPr>
          </w:p>
        </w:tc>
        <w:tc>
          <w:tcPr>
            <w:tcW w:w="708" w:type="dxa"/>
            <w:noWrap w:val="0"/>
            <w:vAlign w:val="center"/>
          </w:tcPr>
          <w:p>
            <w:pPr>
              <w:spacing w:line="240" w:lineRule="exact"/>
              <w:jc w:val="center"/>
              <w:rPr>
                <w:rFonts w:eastAsia="仿宋_GB2312"/>
                <w:color w:val="000000"/>
              </w:rPr>
            </w:pPr>
          </w:p>
        </w:tc>
        <w:tc>
          <w:tcPr>
            <w:tcW w:w="709" w:type="dxa"/>
            <w:noWrap w:val="0"/>
            <w:vAlign w:val="center"/>
          </w:tcPr>
          <w:p>
            <w:pPr>
              <w:spacing w:line="240" w:lineRule="exact"/>
              <w:jc w:val="center"/>
              <w:rPr>
                <w:rFonts w:eastAsia="仿宋_GB2312"/>
                <w:color w:val="000000"/>
              </w:rPr>
            </w:pPr>
          </w:p>
        </w:tc>
        <w:tc>
          <w:tcPr>
            <w:tcW w:w="992" w:type="dxa"/>
            <w:noWrap w:val="0"/>
            <w:vAlign w:val="center"/>
          </w:tcPr>
          <w:p>
            <w:pPr>
              <w:spacing w:line="240" w:lineRule="exact"/>
              <w:jc w:val="center"/>
              <w:rPr>
                <w:rFonts w:eastAsia="仿宋_GB2312"/>
                <w:color w:val="000000"/>
              </w:rPr>
            </w:pPr>
          </w:p>
        </w:tc>
        <w:tc>
          <w:tcPr>
            <w:tcW w:w="868" w:type="dxa"/>
            <w:noWrap w:val="0"/>
            <w:vAlign w:val="center"/>
          </w:tcPr>
          <w:p>
            <w:pPr>
              <w:spacing w:line="240" w:lineRule="exact"/>
              <w:jc w:val="center"/>
              <w:rPr>
                <w:rFonts w:eastAsia="仿宋_GB2312"/>
                <w:color w:val="000000"/>
              </w:rPr>
            </w:pPr>
          </w:p>
        </w:tc>
        <w:tc>
          <w:tcPr>
            <w:tcW w:w="1967" w:type="dxa"/>
            <w:noWrap w:val="0"/>
            <w:vAlign w:val="center"/>
          </w:tcPr>
          <w:p>
            <w:pPr>
              <w:spacing w:line="240" w:lineRule="exact"/>
              <w:jc w:val="center"/>
              <w:rPr>
                <w:rFonts w:eastAsia="仿宋_GB2312"/>
                <w:color w:val="000000"/>
              </w:rPr>
            </w:pPr>
          </w:p>
        </w:tc>
        <w:tc>
          <w:tcPr>
            <w:tcW w:w="1276" w:type="dxa"/>
            <w:noWrap w:val="0"/>
            <w:tcMar>
              <w:top w:w="30" w:type="dxa"/>
              <w:left w:w="75" w:type="dxa"/>
              <w:bottom w:w="30" w:type="dxa"/>
              <w:right w:w="75" w:type="dxa"/>
            </w:tcMar>
            <w:vAlign w:val="center"/>
          </w:tcPr>
          <w:p>
            <w:pPr>
              <w:spacing w:line="240" w:lineRule="exact"/>
              <w:jc w:val="center"/>
              <w:rPr>
                <w:rFonts w:eastAsia="仿宋_GB2312"/>
                <w:color w:val="000000"/>
              </w:rPr>
            </w:pPr>
          </w:p>
        </w:tc>
      </w:tr>
    </w:tbl>
    <w:p>
      <w:pPr>
        <w:jc w:val="left"/>
        <w:rPr>
          <w:rFonts w:eastAsia="仿宋_GB2312"/>
          <w:color w:val="000000"/>
          <w:sz w:val="30"/>
          <w:szCs w:val="3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color w:val="000000"/>
        </w:rPr>
      </w:pPr>
    </w:p>
    <w:p>
      <w:pPr>
        <w:ind w:firstLine="420" w:firstLineChars="200"/>
        <w:rPr>
          <w:color w:val="000000"/>
        </w:rPr>
      </w:pPr>
    </w:p>
    <w:p>
      <w:pPr>
        <w:ind w:firstLine="420" w:firstLineChars="200"/>
        <w:rPr>
          <w:color w:val="000000"/>
        </w:rPr>
      </w:pPr>
    </w:p>
    <w:p>
      <w:pPr>
        <w:ind w:firstLine="420" w:firstLineChars="200"/>
        <w:rPr>
          <w:color w:val="000000"/>
        </w:rPr>
      </w:pPr>
    </w:p>
    <w:p>
      <w:pPr>
        <w:ind w:firstLine="420" w:firstLineChars="200"/>
        <w:rPr>
          <w:color w:val="000000"/>
        </w:rPr>
      </w:pPr>
    </w:p>
    <w:p>
      <w:pPr>
        <w:ind w:firstLine="420" w:firstLineChars="200"/>
        <w:rPr>
          <w:color w:val="000000"/>
        </w:rPr>
      </w:pPr>
    </w:p>
    <w:p>
      <w:pPr>
        <w:ind w:firstLine="420" w:firstLineChars="200"/>
        <w:rPr>
          <w:color w:val="000000"/>
        </w:rPr>
      </w:pPr>
    </w:p>
    <w:p>
      <w:pPr>
        <w:ind w:firstLine="420" w:firstLineChars="200"/>
        <w:rPr>
          <w:color w:val="000000"/>
        </w:rPr>
      </w:pPr>
      <w:r>
        <w:rPr>
          <w:color w:val="000000"/>
        </w:rPr>
        <w:t>记录人（签名）：                                                      送样人（签名）：</w:t>
      </w:r>
    </w:p>
    <w:p>
      <w:pPr>
        <w:ind w:firstLine="420" w:firstLineChars="200"/>
        <w:rPr>
          <w:color w:val="000000"/>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hint="eastAsia" w:eastAsia="黑体"/>
          <w:color w:val="000000"/>
          <w:sz w:val="32"/>
          <w:szCs w:val="32"/>
        </w:rPr>
      </w:pPr>
      <w:r>
        <w:rPr>
          <w:rFonts w:eastAsia="黑体"/>
          <w:color w:val="000000"/>
          <w:sz w:val="32"/>
          <w:szCs w:val="32"/>
        </w:rPr>
        <w:t>附件3</w:t>
      </w:r>
    </w:p>
    <w:p>
      <w:pPr>
        <w:rPr>
          <w:rFonts w:eastAsia="黑体"/>
          <w:color w:val="000000"/>
          <w:sz w:val="32"/>
          <w:szCs w:val="32"/>
        </w:rPr>
      </w:pPr>
    </w:p>
    <w:p>
      <w:pPr>
        <w:jc w:val="center"/>
        <w:rPr>
          <w:rFonts w:hint="eastAsia" w:eastAsia="方正小标宋简体"/>
          <w:color w:val="000000"/>
          <w:sz w:val="44"/>
          <w:szCs w:val="44"/>
        </w:rPr>
      </w:pPr>
      <w:r>
        <w:rPr>
          <w:color w:val="000000"/>
          <w:u w:val="single"/>
        </w:rPr>
        <w:t xml:space="preserve">                      </w:t>
      </w:r>
      <w:r>
        <w:rPr>
          <w:rFonts w:eastAsia="方正小标宋简体"/>
          <w:color w:val="000000"/>
          <w:sz w:val="44"/>
          <w:szCs w:val="44"/>
          <w:u w:val="single"/>
        </w:rPr>
        <w:t xml:space="preserve"> </w:t>
      </w:r>
      <w:bookmarkStart w:id="0" w:name="OLE_LINK1"/>
      <w:r>
        <w:rPr>
          <w:rFonts w:eastAsia="方正小标宋简体"/>
          <w:color w:val="000000"/>
          <w:sz w:val="44"/>
          <w:szCs w:val="44"/>
        </w:rPr>
        <w:t>市送检水产样品信息汇总表</w:t>
      </w:r>
      <w:bookmarkEnd w:id="0"/>
      <w:r>
        <w:rPr>
          <w:rFonts w:eastAsia="方正小标宋简体"/>
          <w:color w:val="000000"/>
          <w:sz w:val="44"/>
          <w:szCs w:val="44"/>
        </w:rPr>
        <w:t>（第XX批）</w:t>
      </w:r>
    </w:p>
    <w:p>
      <w:pPr>
        <w:jc w:val="center"/>
        <w:rPr>
          <w:rFonts w:eastAsia="方正小标宋简体"/>
          <w:color w:val="000000"/>
          <w:sz w:val="44"/>
          <w:szCs w:val="44"/>
        </w:rPr>
      </w:pPr>
    </w:p>
    <w:tbl>
      <w:tblPr>
        <w:tblStyle w:val="4"/>
        <w:tblW w:w="14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701"/>
        <w:gridCol w:w="1354"/>
        <w:gridCol w:w="2880"/>
        <w:gridCol w:w="2160"/>
        <w:gridCol w:w="1544"/>
        <w:gridCol w:w="151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exact"/>
              <w:jc w:val="left"/>
              <w:rPr>
                <w:color w:val="000000"/>
                <w:sz w:val="28"/>
                <w:szCs w:val="28"/>
              </w:rPr>
            </w:pPr>
            <w:r>
              <w:rPr>
                <w:color w:val="000000"/>
                <w:sz w:val="28"/>
                <w:szCs w:val="28"/>
              </w:rPr>
              <w:t>序号</w:t>
            </w:r>
          </w:p>
        </w:tc>
        <w:tc>
          <w:tcPr>
            <w:tcW w:w="1276" w:type="dxa"/>
            <w:noWrap w:val="0"/>
            <w:vAlign w:val="center"/>
          </w:tcPr>
          <w:p>
            <w:pPr>
              <w:spacing w:line="360" w:lineRule="exact"/>
              <w:rPr>
                <w:color w:val="000000"/>
                <w:sz w:val="28"/>
                <w:szCs w:val="28"/>
              </w:rPr>
            </w:pPr>
            <w:r>
              <w:rPr>
                <w:color w:val="000000"/>
                <w:sz w:val="28"/>
                <w:szCs w:val="28"/>
              </w:rPr>
              <w:t>原样品编号</w:t>
            </w:r>
          </w:p>
        </w:tc>
        <w:tc>
          <w:tcPr>
            <w:tcW w:w="1701" w:type="dxa"/>
            <w:noWrap w:val="0"/>
            <w:vAlign w:val="center"/>
          </w:tcPr>
          <w:p>
            <w:pPr>
              <w:spacing w:line="360" w:lineRule="exact"/>
              <w:rPr>
                <w:color w:val="000000"/>
                <w:sz w:val="28"/>
                <w:szCs w:val="28"/>
              </w:rPr>
            </w:pPr>
            <w:r>
              <w:rPr>
                <w:color w:val="000000"/>
                <w:sz w:val="28"/>
                <w:szCs w:val="28"/>
              </w:rPr>
              <w:t>样品名称</w:t>
            </w:r>
          </w:p>
        </w:tc>
        <w:tc>
          <w:tcPr>
            <w:tcW w:w="4234" w:type="dxa"/>
            <w:gridSpan w:val="2"/>
            <w:noWrap w:val="0"/>
            <w:vAlign w:val="center"/>
          </w:tcPr>
          <w:p>
            <w:pPr>
              <w:spacing w:line="360" w:lineRule="exact"/>
              <w:ind w:firstLine="560"/>
              <w:jc w:val="center"/>
              <w:rPr>
                <w:color w:val="000000"/>
                <w:sz w:val="28"/>
                <w:szCs w:val="28"/>
              </w:rPr>
            </w:pPr>
            <w:r>
              <w:rPr>
                <w:color w:val="000000"/>
                <w:sz w:val="28"/>
                <w:szCs w:val="28"/>
              </w:rPr>
              <w:t>受检单位名称</w:t>
            </w:r>
          </w:p>
        </w:tc>
        <w:tc>
          <w:tcPr>
            <w:tcW w:w="2160" w:type="dxa"/>
            <w:noWrap w:val="0"/>
            <w:vAlign w:val="center"/>
          </w:tcPr>
          <w:p>
            <w:pPr>
              <w:spacing w:line="360" w:lineRule="exact"/>
              <w:ind w:firstLine="560"/>
              <w:jc w:val="center"/>
              <w:rPr>
                <w:color w:val="000000"/>
                <w:sz w:val="28"/>
                <w:szCs w:val="28"/>
              </w:rPr>
            </w:pPr>
            <w:r>
              <w:rPr>
                <w:color w:val="000000"/>
                <w:sz w:val="28"/>
                <w:szCs w:val="28"/>
              </w:rPr>
              <w:t>塘/网箱</w:t>
            </w:r>
          </w:p>
          <w:p>
            <w:pPr>
              <w:spacing w:line="360" w:lineRule="exact"/>
              <w:ind w:firstLine="560"/>
              <w:jc w:val="center"/>
              <w:rPr>
                <w:color w:val="000000"/>
                <w:sz w:val="28"/>
                <w:szCs w:val="28"/>
              </w:rPr>
            </w:pPr>
            <w:r>
              <w:rPr>
                <w:color w:val="000000"/>
                <w:sz w:val="28"/>
                <w:szCs w:val="28"/>
              </w:rPr>
              <w:t>/围栏 号</w:t>
            </w:r>
          </w:p>
        </w:tc>
        <w:tc>
          <w:tcPr>
            <w:tcW w:w="1544" w:type="dxa"/>
            <w:noWrap w:val="0"/>
            <w:vAlign w:val="center"/>
          </w:tcPr>
          <w:p>
            <w:pPr>
              <w:spacing w:line="360" w:lineRule="exact"/>
              <w:rPr>
                <w:color w:val="000000"/>
                <w:sz w:val="28"/>
                <w:szCs w:val="28"/>
              </w:rPr>
            </w:pPr>
            <w:r>
              <w:rPr>
                <w:color w:val="000000"/>
                <w:sz w:val="28"/>
                <w:szCs w:val="28"/>
              </w:rPr>
              <w:t>受检单位</w:t>
            </w:r>
          </w:p>
          <w:p>
            <w:pPr>
              <w:spacing w:line="360" w:lineRule="exact"/>
              <w:rPr>
                <w:color w:val="000000"/>
                <w:sz w:val="28"/>
                <w:szCs w:val="28"/>
              </w:rPr>
            </w:pPr>
            <w:r>
              <w:rPr>
                <w:color w:val="000000"/>
                <w:sz w:val="28"/>
                <w:szCs w:val="28"/>
              </w:rPr>
              <w:t>负责人</w:t>
            </w:r>
          </w:p>
        </w:tc>
        <w:tc>
          <w:tcPr>
            <w:tcW w:w="1516" w:type="dxa"/>
            <w:noWrap w:val="0"/>
            <w:vAlign w:val="center"/>
          </w:tcPr>
          <w:p>
            <w:pPr>
              <w:spacing w:line="360" w:lineRule="exact"/>
              <w:rPr>
                <w:color w:val="000000"/>
                <w:sz w:val="28"/>
                <w:szCs w:val="28"/>
              </w:rPr>
            </w:pPr>
            <w:r>
              <w:rPr>
                <w:color w:val="000000"/>
                <w:sz w:val="28"/>
                <w:szCs w:val="28"/>
              </w:rPr>
              <w:t>抽样人</w:t>
            </w:r>
          </w:p>
          <w:p>
            <w:pPr>
              <w:spacing w:line="360" w:lineRule="exact"/>
              <w:rPr>
                <w:color w:val="000000"/>
                <w:sz w:val="28"/>
                <w:szCs w:val="28"/>
              </w:rPr>
            </w:pPr>
            <w:r>
              <w:rPr>
                <w:color w:val="000000"/>
                <w:sz w:val="28"/>
                <w:szCs w:val="28"/>
              </w:rPr>
              <w:t>（2名）</w:t>
            </w:r>
          </w:p>
        </w:tc>
        <w:tc>
          <w:tcPr>
            <w:tcW w:w="1131" w:type="dxa"/>
            <w:noWrap w:val="0"/>
            <w:vAlign w:val="center"/>
          </w:tcPr>
          <w:p>
            <w:pPr>
              <w:spacing w:line="360" w:lineRule="exact"/>
              <w:jc w:val="center"/>
              <w:rPr>
                <w:color w:val="000000"/>
                <w:sz w:val="28"/>
                <w:szCs w:val="28"/>
              </w:rPr>
            </w:pPr>
            <w:r>
              <w:rPr>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ind w:firstLine="560"/>
              <w:jc w:val="center"/>
              <w:rPr>
                <w:color w:val="000000"/>
                <w:sz w:val="28"/>
                <w:szCs w:val="28"/>
              </w:rPr>
            </w:pPr>
          </w:p>
        </w:tc>
        <w:tc>
          <w:tcPr>
            <w:tcW w:w="1276" w:type="dxa"/>
            <w:noWrap w:val="0"/>
            <w:vAlign w:val="top"/>
          </w:tcPr>
          <w:p>
            <w:pPr>
              <w:ind w:firstLine="560"/>
              <w:jc w:val="center"/>
              <w:rPr>
                <w:color w:val="000000"/>
                <w:sz w:val="28"/>
                <w:szCs w:val="28"/>
              </w:rPr>
            </w:pPr>
          </w:p>
        </w:tc>
        <w:tc>
          <w:tcPr>
            <w:tcW w:w="1701" w:type="dxa"/>
            <w:noWrap w:val="0"/>
            <w:vAlign w:val="top"/>
          </w:tcPr>
          <w:p>
            <w:pPr>
              <w:ind w:firstLine="560"/>
              <w:jc w:val="center"/>
              <w:rPr>
                <w:color w:val="000000"/>
                <w:sz w:val="28"/>
                <w:szCs w:val="28"/>
              </w:rPr>
            </w:pPr>
          </w:p>
        </w:tc>
        <w:tc>
          <w:tcPr>
            <w:tcW w:w="4234" w:type="dxa"/>
            <w:gridSpan w:val="2"/>
            <w:noWrap w:val="0"/>
            <w:vAlign w:val="top"/>
          </w:tcPr>
          <w:p>
            <w:pPr>
              <w:ind w:firstLine="560"/>
              <w:jc w:val="center"/>
              <w:rPr>
                <w:color w:val="000000"/>
                <w:sz w:val="28"/>
                <w:szCs w:val="28"/>
              </w:rPr>
            </w:pPr>
          </w:p>
        </w:tc>
        <w:tc>
          <w:tcPr>
            <w:tcW w:w="2160" w:type="dxa"/>
            <w:noWrap w:val="0"/>
            <w:vAlign w:val="top"/>
          </w:tcPr>
          <w:p>
            <w:pPr>
              <w:ind w:firstLine="560"/>
              <w:jc w:val="center"/>
              <w:rPr>
                <w:color w:val="000000"/>
                <w:sz w:val="28"/>
                <w:szCs w:val="28"/>
              </w:rPr>
            </w:pPr>
          </w:p>
        </w:tc>
        <w:tc>
          <w:tcPr>
            <w:tcW w:w="1544" w:type="dxa"/>
            <w:noWrap w:val="0"/>
            <w:vAlign w:val="top"/>
          </w:tcPr>
          <w:p>
            <w:pPr>
              <w:ind w:firstLine="560"/>
              <w:jc w:val="center"/>
              <w:rPr>
                <w:color w:val="000000"/>
                <w:sz w:val="28"/>
                <w:szCs w:val="28"/>
              </w:rPr>
            </w:pPr>
          </w:p>
        </w:tc>
        <w:tc>
          <w:tcPr>
            <w:tcW w:w="1516" w:type="dxa"/>
            <w:noWrap w:val="0"/>
            <w:vAlign w:val="top"/>
          </w:tcPr>
          <w:p>
            <w:pPr>
              <w:ind w:firstLine="560"/>
              <w:jc w:val="center"/>
              <w:rPr>
                <w:color w:val="000000"/>
                <w:sz w:val="28"/>
                <w:szCs w:val="28"/>
              </w:rPr>
            </w:pPr>
          </w:p>
        </w:tc>
        <w:tc>
          <w:tcPr>
            <w:tcW w:w="1131" w:type="dxa"/>
            <w:noWrap w:val="0"/>
            <w:vAlign w:val="top"/>
          </w:tcPr>
          <w:p>
            <w:pPr>
              <w:ind w:firstLine="560"/>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ind w:firstLine="560"/>
              <w:jc w:val="center"/>
              <w:rPr>
                <w:color w:val="000000"/>
                <w:sz w:val="28"/>
                <w:szCs w:val="28"/>
              </w:rPr>
            </w:pPr>
          </w:p>
        </w:tc>
        <w:tc>
          <w:tcPr>
            <w:tcW w:w="1276" w:type="dxa"/>
            <w:noWrap w:val="0"/>
            <w:vAlign w:val="top"/>
          </w:tcPr>
          <w:p>
            <w:pPr>
              <w:ind w:firstLine="560"/>
              <w:jc w:val="center"/>
              <w:rPr>
                <w:color w:val="000000"/>
                <w:sz w:val="28"/>
                <w:szCs w:val="28"/>
              </w:rPr>
            </w:pPr>
          </w:p>
        </w:tc>
        <w:tc>
          <w:tcPr>
            <w:tcW w:w="1701" w:type="dxa"/>
            <w:noWrap w:val="0"/>
            <w:vAlign w:val="top"/>
          </w:tcPr>
          <w:p>
            <w:pPr>
              <w:ind w:firstLine="560"/>
              <w:jc w:val="center"/>
              <w:rPr>
                <w:color w:val="000000"/>
                <w:sz w:val="28"/>
                <w:szCs w:val="28"/>
              </w:rPr>
            </w:pPr>
          </w:p>
        </w:tc>
        <w:tc>
          <w:tcPr>
            <w:tcW w:w="4234" w:type="dxa"/>
            <w:gridSpan w:val="2"/>
            <w:noWrap w:val="0"/>
            <w:vAlign w:val="top"/>
          </w:tcPr>
          <w:p>
            <w:pPr>
              <w:ind w:firstLine="560"/>
              <w:jc w:val="center"/>
              <w:rPr>
                <w:color w:val="000000"/>
                <w:sz w:val="28"/>
                <w:szCs w:val="28"/>
              </w:rPr>
            </w:pPr>
          </w:p>
        </w:tc>
        <w:tc>
          <w:tcPr>
            <w:tcW w:w="2160" w:type="dxa"/>
            <w:noWrap w:val="0"/>
            <w:vAlign w:val="top"/>
          </w:tcPr>
          <w:p>
            <w:pPr>
              <w:ind w:firstLine="560"/>
              <w:jc w:val="center"/>
              <w:rPr>
                <w:color w:val="000000"/>
                <w:sz w:val="28"/>
                <w:szCs w:val="28"/>
              </w:rPr>
            </w:pPr>
          </w:p>
        </w:tc>
        <w:tc>
          <w:tcPr>
            <w:tcW w:w="1544" w:type="dxa"/>
            <w:noWrap w:val="0"/>
            <w:vAlign w:val="top"/>
          </w:tcPr>
          <w:p>
            <w:pPr>
              <w:ind w:firstLine="560"/>
              <w:jc w:val="center"/>
              <w:rPr>
                <w:color w:val="000000"/>
                <w:sz w:val="28"/>
                <w:szCs w:val="28"/>
              </w:rPr>
            </w:pPr>
          </w:p>
        </w:tc>
        <w:tc>
          <w:tcPr>
            <w:tcW w:w="1516" w:type="dxa"/>
            <w:noWrap w:val="0"/>
            <w:vAlign w:val="top"/>
          </w:tcPr>
          <w:p>
            <w:pPr>
              <w:ind w:firstLine="560"/>
              <w:jc w:val="center"/>
              <w:rPr>
                <w:color w:val="000000"/>
                <w:sz w:val="28"/>
                <w:szCs w:val="28"/>
              </w:rPr>
            </w:pPr>
          </w:p>
        </w:tc>
        <w:tc>
          <w:tcPr>
            <w:tcW w:w="1131" w:type="dxa"/>
            <w:noWrap w:val="0"/>
            <w:vAlign w:val="top"/>
          </w:tcPr>
          <w:p>
            <w:pPr>
              <w:ind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ind w:firstLine="560"/>
              <w:jc w:val="center"/>
              <w:rPr>
                <w:color w:val="000000"/>
                <w:sz w:val="28"/>
                <w:szCs w:val="28"/>
              </w:rPr>
            </w:pPr>
          </w:p>
        </w:tc>
        <w:tc>
          <w:tcPr>
            <w:tcW w:w="1276" w:type="dxa"/>
            <w:noWrap w:val="0"/>
            <w:vAlign w:val="top"/>
          </w:tcPr>
          <w:p>
            <w:pPr>
              <w:ind w:firstLine="560"/>
              <w:jc w:val="center"/>
              <w:rPr>
                <w:color w:val="000000"/>
                <w:sz w:val="28"/>
                <w:szCs w:val="28"/>
              </w:rPr>
            </w:pPr>
          </w:p>
        </w:tc>
        <w:tc>
          <w:tcPr>
            <w:tcW w:w="1701" w:type="dxa"/>
            <w:noWrap w:val="0"/>
            <w:vAlign w:val="top"/>
          </w:tcPr>
          <w:p>
            <w:pPr>
              <w:ind w:firstLine="560"/>
              <w:jc w:val="center"/>
              <w:rPr>
                <w:color w:val="000000"/>
                <w:sz w:val="28"/>
                <w:szCs w:val="28"/>
              </w:rPr>
            </w:pPr>
          </w:p>
        </w:tc>
        <w:tc>
          <w:tcPr>
            <w:tcW w:w="4234" w:type="dxa"/>
            <w:gridSpan w:val="2"/>
            <w:noWrap w:val="0"/>
            <w:vAlign w:val="top"/>
          </w:tcPr>
          <w:p>
            <w:pPr>
              <w:ind w:firstLine="560"/>
              <w:jc w:val="center"/>
              <w:rPr>
                <w:color w:val="000000"/>
                <w:sz w:val="28"/>
                <w:szCs w:val="28"/>
              </w:rPr>
            </w:pPr>
          </w:p>
        </w:tc>
        <w:tc>
          <w:tcPr>
            <w:tcW w:w="2160" w:type="dxa"/>
            <w:noWrap w:val="0"/>
            <w:vAlign w:val="top"/>
          </w:tcPr>
          <w:p>
            <w:pPr>
              <w:ind w:firstLine="560"/>
              <w:jc w:val="center"/>
              <w:rPr>
                <w:color w:val="000000"/>
                <w:sz w:val="28"/>
                <w:szCs w:val="28"/>
              </w:rPr>
            </w:pPr>
          </w:p>
        </w:tc>
        <w:tc>
          <w:tcPr>
            <w:tcW w:w="1544" w:type="dxa"/>
            <w:noWrap w:val="0"/>
            <w:vAlign w:val="top"/>
          </w:tcPr>
          <w:p>
            <w:pPr>
              <w:ind w:firstLine="560"/>
              <w:jc w:val="center"/>
              <w:rPr>
                <w:color w:val="000000"/>
                <w:sz w:val="28"/>
                <w:szCs w:val="28"/>
              </w:rPr>
            </w:pPr>
          </w:p>
        </w:tc>
        <w:tc>
          <w:tcPr>
            <w:tcW w:w="1516" w:type="dxa"/>
            <w:noWrap w:val="0"/>
            <w:vAlign w:val="top"/>
          </w:tcPr>
          <w:p>
            <w:pPr>
              <w:ind w:firstLine="560"/>
              <w:jc w:val="center"/>
              <w:rPr>
                <w:color w:val="000000"/>
                <w:sz w:val="28"/>
                <w:szCs w:val="28"/>
              </w:rPr>
            </w:pPr>
          </w:p>
        </w:tc>
        <w:tc>
          <w:tcPr>
            <w:tcW w:w="1131" w:type="dxa"/>
            <w:noWrap w:val="0"/>
            <w:vAlign w:val="top"/>
          </w:tcPr>
          <w:p>
            <w:pPr>
              <w:ind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ind w:firstLine="560"/>
              <w:jc w:val="center"/>
              <w:rPr>
                <w:color w:val="000000"/>
                <w:sz w:val="28"/>
                <w:szCs w:val="28"/>
              </w:rPr>
            </w:pPr>
          </w:p>
        </w:tc>
        <w:tc>
          <w:tcPr>
            <w:tcW w:w="1276" w:type="dxa"/>
            <w:noWrap w:val="0"/>
            <w:vAlign w:val="top"/>
          </w:tcPr>
          <w:p>
            <w:pPr>
              <w:ind w:firstLine="560"/>
              <w:jc w:val="center"/>
              <w:rPr>
                <w:color w:val="000000"/>
                <w:sz w:val="28"/>
                <w:szCs w:val="28"/>
              </w:rPr>
            </w:pPr>
          </w:p>
        </w:tc>
        <w:tc>
          <w:tcPr>
            <w:tcW w:w="1701" w:type="dxa"/>
            <w:noWrap w:val="0"/>
            <w:vAlign w:val="top"/>
          </w:tcPr>
          <w:p>
            <w:pPr>
              <w:ind w:firstLine="560"/>
              <w:jc w:val="center"/>
              <w:rPr>
                <w:color w:val="000000"/>
                <w:sz w:val="28"/>
                <w:szCs w:val="28"/>
              </w:rPr>
            </w:pPr>
          </w:p>
        </w:tc>
        <w:tc>
          <w:tcPr>
            <w:tcW w:w="4234" w:type="dxa"/>
            <w:gridSpan w:val="2"/>
            <w:noWrap w:val="0"/>
            <w:vAlign w:val="top"/>
          </w:tcPr>
          <w:p>
            <w:pPr>
              <w:ind w:firstLine="560"/>
              <w:jc w:val="center"/>
              <w:rPr>
                <w:color w:val="000000"/>
                <w:sz w:val="28"/>
                <w:szCs w:val="28"/>
              </w:rPr>
            </w:pPr>
          </w:p>
        </w:tc>
        <w:tc>
          <w:tcPr>
            <w:tcW w:w="2160" w:type="dxa"/>
            <w:noWrap w:val="0"/>
            <w:vAlign w:val="top"/>
          </w:tcPr>
          <w:p>
            <w:pPr>
              <w:ind w:firstLine="560"/>
              <w:jc w:val="center"/>
              <w:rPr>
                <w:color w:val="000000"/>
                <w:sz w:val="28"/>
                <w:szCs w:val="28"/>
              </w:rPr>
            </w:pPr>
          </w:p>
        </w:tc>
        <w:tc>
          <w:tcPr>
            <w:tcW w:w="1544" w:type="dxa"/>
            <w:noWrap w:val="0"/>
            <w:vAlign w:val="top"/>
          </w:tcPr>
          <w:p>
            <w:pPr>
              <w:ind w:firstLine="560"/>
              <w:jc w:val="center"/>
              <w:rPr>
                <w:color w:val="000000"/>
                <w:sz w:val="28"/>
                <w:szCs w:val="28"/>
              </w:rPr>
            </w:pPr>
          </w:p>
        </w:tc>
        <w:tc>
          <w:tcPr>
            <w:tcW w:w="1516" w:type="dxa"/>
            <w:noWrap w:val="0"/>
            <w:vAlign w:val="top"/>
          </w:tcPr>
          <w:p>
            <w:pPr>
              <w:ind w:firstLine="560"/>
              <w:jc w:val="center"/>
              <w:rPr>
                <w:color w:val="000000"/>
                <w:sz w:val="28"/>
                <w:szCs w:val="28"/>
              </w:rPr>
            </w:pPr>
          </w:p>
        </w:tc>
        <w:tc>
          <w:tcPr>
            <w:tcW w:w="1131" w:type="dxa"/>
            <w:noWrap w:val="0"/>
            <w:vAlign w:val="top"/>
          </w:tcPr>
          <w:p>
            <w:pPr>
              <w:ind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ind w:firstLine="560"/>
              <w:jc w:val="center"/>
              <w:rPr>
                <w:color w:val="000000"/>
                <w:sz w:val="28"/>
                <w:szCs w:val="28"/>
              </w:rPr>
            </w:pPr>
          </w:p>
        </w:tc>
        <w:tc>
          <w:tcPr>
            <w:tcW w:w="1276" w:type="dxa"/>
            <w:noWrap w:val="0"/>
            <w:vAlign w:val="top"/>
          </w:tcPr>
          <w:p>
            <w:pPr>
              <w:ind w:firstLine="560"/>
              <w:jc w:val="center"/>
              <w:rPr>
                <w:color w:val="000000"/>
                <w:sz w:val="28"/>
                <w:szCs w:val="28"/>
              </w:rPr>
            </w:pPr>
          </w:p>
        </w:tc>
        <w:tc>
          <w:tcPr>
            <w:tcW w:w="1701" w:type="dxa"/>
            <w:noWrap w:val="0"/>
            <w:vAlign w:val="top"/>
          </w:tcPr>
          <w:p>
            <w:pPr>
              <w:ind w:firstLine="560"/>
              <w:jc w:val="center"/>
              <w:rPr>
                <w:color w:val="000000"/>
                <w:sz w:val="28"/>
                <w:szCs w:val="28"/>
              </w:rPr>
            </w:pPr>
          </w:p>
        </w:tc>
        <w:tc>
          <w:tcPr>
            <w:tcW w:w="4234" w:type="dxa"/>
            <w:gridSpan w:val="2"/>
            <w:noWrap w:val="0"/>
            <w:vAlign w:val="top"/>
          </w:tcPr>
          <w:p>
            <w:pPr>
              <w:ind w:firstLine="560"/>
              <w:jc w:val="center"/>
              <w:rPr>
                <w:color w:val="000000"/>
                <w:sz w:val="28"/>
                <w:szCs w:val="28"/>
              </w:rPr>
            </w:pPr>
          </w:p>
        </w:tc>
        <w:tc>
          <w:tcPr>
            <w:tcW w:w="2160" w:type="dxa"/>
            <w:noWrap w:val="0"/>
            <w:vAlign w:val="top"/>
          </w:tcPr>
          <w:p>
            <w:pPr>
              <w:ind w:firstLine="560"/>
              <w:jc w:val="center"/>
              <w:rPr>
                <w:color w:val="000000"/>
                <w:sz w:val="28"/>
                <w:szCs w:val="28"/>
              </w:rPr>
            </w:pPr>
          </w:p>
        </w:tc>
        <w:tc>
          <w:tcPr>
            <w:tcW w:w="1544" w:type="dxa"/>
            <w:noWrap w:val="0"/>
            <w:vAlign w:val="top"/>
          </w:tcPr>
          <w:p>
            <w:pPr>
              <w:ind w:firstLine="560"/>
              <w:jc w:val="center"/>
              <w:rPr>
                <w:color w:val="000000"/>
                <w:sz w:val="28"/>
                <w:szCs w:val="28"/>
              </w:rPr>
            </w:pPr>
          </w:p>
        </w:tc>
        <w:tc>
          <w:tcPr>
            <w:tcW w:w="1516" w:type="dxa"/>
            <w:noWrap w:val="0"/>
            <w:vAlign w:val="top"/>
          </w:tcPr>
          <w:p>
            <w:pPr>
              <w:ind w:firstLine="560"/>
              <w:jc w:val="center"/>
              <w:rPr>
                <w:color w:val="000000"/>
                <w:sz w:val="28"/>
                <w:szCs w:val="28"/>
              </w:rPr>
            </w:pPr>
          </w:p>
        </w:tc>
        <w:tc>
          <w:tcPr>
            <w:tcW w:w="1131" w:type="dxa"/>
            <w:noWrap w:val="0"/>
            <w:vAlign w:val="top"/>
          </w:tcPr>
          <w:p>
            <w:pPr>
              <w:ind w:firstLine="56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gridSpan w:val="2"/>
            <w:noWrap w:val="0"/>
            <w:vAlign w:val="center"/>
          </w:tcPr>
          <w:p>
            <w:pPr>
              <w:rPr>
                <w:color w:val="000000"/>
                <w:sz w:val="28"/>
                <w:szCs w:val="28"/>
              </w:rPr>
            </w:pPr>
            <w:r>
              <w:rPr>
                <w:color w:val="000000"/>
                <w:sz w:val="28"/>
                <w:szCs w:val="28"/>
              </w:rPr>
              <w:t>合计（个）</w:t>
            </w:r>
          </w:p>
        </w:tc>
        <w:tc>
          <w:tcPr>
            <w:tcW w:w="12286" w:type="dxa"/>
            <w:gridSpan w:val="7"/>
            <w:noWrap w:val="0"/>
            <w:vAlign w:val="center"/>
          </w:tcPr>
          <w:p>
            <w:pP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148" w:type="dxa"/>
            <w:gridSpan w:val="4"/>
            <w:noWrap w:val="0"/>
            <w:vAlign w:val="center"/>
          </w:tcPr>
          <w:p>
            <w:pPr>
              <w:rPr>
                <w:color w:val="000000"/>
                <w:sz w:val="28"/>
                <w:szCs w:val="28"/>
              </w:rPr>
            </w:pPr>
            <w:r>
              <w:rPr>
                <w:color w:val="000000"/>
                <w:sz w:val="28"/>
                <w:szCs w:val="28"/>
              </w:rPr>
              <w:t>本次抽取成品的受检单位数量合计（个）</w:t>
            </w:r>
          </w:p>
        </w:tc>
        <w:tc>
          <w:tcPr>
            <w:tcW w:w="9231" w:type="dxa"/>
            <w:gridSpan w:val="5"/>
            <w:noWrap w:val="0"/>
            <w:vAlign w:val="center"/>
          </w:tcPr>
          <w:p>
            <w:pPr>
              <w:ind w:firstLine="560"/>
              <w:jc w:val="center"/>
              <w:rPr>
                <w:color w:val="000000"/>
                <w:sz w:val="28"/>
                <w:szCs w:val="28"/>
              </w:rPr>
            </w:pPr>
          </w:p>
        </w:tc>
      </w:tr>
    </w:tbl>
    <w:p>
      <w:pPr>
        <w:rPr>
          <w:color w:val="000000"/>
          <w:sz w:val="28"/>
          <w:szCs w:val="28"/>
        </w:rPr>
        <w:sectPr>
          <w:pgSz w:w="16838" w:h="11906" w:orient="landscape"/>
          <w:pgMar w:top="1418" w:right="567" w:bottom="1418" w:left="1418" w:header="851" w:footer="992" w:gutter="0"/>
          <w:cols w:space="720" w:num="1"/>
          <w:docGrid w:linePitch="312" w:charSpace="0"/>
        </w:sectPr>
      </w:pPr>
      <w:r>
        <w:rPr>
          <w:color w:val="000000"/>
          <w:sz w:val="28"/>
          <w:szCs w:val="28"/>
        </w:rPr>
        <w:t>备注：纸质版和《抽样单》上交</w:t>
      </w:r>
      <w:r>
        <w:rPr>
          <w:color w:val="000000"/>
          <w:sz w:val="28"/>
          <w:szCs w:val="28"/>
        </w:rPr>
        <w:fldChar w:fldCharType="begin"/>
      </w:r>
      <w:r>
        <w:rPr>
          <w:color w:val="000000"/>
          <w:sz w:val="28"/>
          <w:szCs w:val="28"/>
        </w:rPr>
        <w:instrText xml:space="preserve"> HYPERLINK "mailto:电子版发送到gxfemc@163.com" </w:instrText>
      </w:r>
      <w:r>
        <w:rPr>
          <w:color w:val="000000"/>
          <w:sz w:val="28"/>
          <w:szCs w:val="28"/>
        </w:rPr>
        <w:fldChar w:fldCharType="separate"/>
      </w:r>
      <w:r>
        <w:rPr>
          <w:color w:val="000000"/>
          <w:sz w:val="28"/>
          <w:szCs w:val="28"/>
        </w:rPr>
        <w:fldChar w:fldCharType="end"/>
      </w:r>
      <w:r>
        <w:rPr>
          <w:color w:val="000000"/>
          <w:sz w:val="28"/>
          <w:szCs w:val="28"/>
        </w:rPr>
        <w:t>。</w:t>
      </w:r>
    </w:p>
    <w:p>
      <w:pPr>
        <w:rPr>
          <w:rFonts w:hint="eastAsia" w:eastAsia="黑体"/>
          <w:color w:val="000000"/>
          <w:sz w:val="32"/>
          <w:szCs w:val="32"/>
        </w:rPr>
      </w:pPr>
      <w:r>
        <w:rPr>
          <w:rFonts w:eastAsia="黑体"/>
          <w:color w:val="000000"/>
          <w:sz w:val="32"/>
          <w:szCs w:val="32"/>
        </w:rPr>
        <w:t>附件4</w:t>
      </w:r>
    </w:p>
    <w:p>
      <w:pPr>
        <w:rPr>
          <w:rFonts w:eastAsia="黑体"/>
          <w:color w:val="000000"/>
          <w:sz w:val="32"/>
          <w:szCs w:val="32"/>
        </w:rPr>
      </w:pPr>
    </w:p>
    <w:p>
      <w:pPr>
        <w:jc w:val="center"/>
        <w:rPr>
          <w:rFonts w:hint="eastAsia" w:eastAsia="方正小标宋简体"/>
          <w:color w:val="000000"/>
          <w:sz w:val="44"/>
          <w:szCs w:val="44"/>
        </w:rPr>
      </w:pPr>
      <w:r>
        <w:rPr>
          <w:rFonts w:eastAsia="方正小标宋简体"/>
          <w:color w:val="000000"/>
          <w:sz w:val="44"/>
          <w:szCs w:val="44"/>
        </w:rPr>
        <w:t>检测项目、检测方法及结果判定</w:t>
      </w:r>
    </w:p>
    <w:p>
      <w:pPr>
        <w:jc w:val="center"/>
        <w:rPr>
          <w:rFonts w:eastAsia="方正小标宋简体"/>
          <w:color w:val="000000"/>
          <w:sz w:val="44"/>
          <w:szCs w:val="44"/>
        </w:rPr>
      </w:pP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3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60" w:type="dxa"/>
            <w:noWrap w:val="0"/>
            <w:vAlign w:val="center"/>
          </w:tcPr>
          <w:p>
            <w:pPr>
              <w:jc w:val="center"/>
              <w:rPr>
                <w:rFonts w:eastAsia="仿宋_GB2312"/>
                <w:color w:val="000000"/>
                <w:sz w:val="24"/>
              </w:rPr>
            </w:pPr>
            <w:r>
              <w:rPr>
                <w:rFonts w:eastAsia="仿宋_GB2312"/>
                <w:color w:val="000000"/>
                <w:sz w:val="24"/>
              </w:rPr>
              <w:t>检测项目</w:t>
            </w:r>
          </w:p>
        </w:tc>
        <w:tc>
          <w:tcPr>
            <w:tcW w:w="6300" w:type="dxa"/>
            <w:noWrap w:val="0"/>
            <w:vAlign w:val="center"/>
          </w:tcPr>
          <w:p>
            <w:pPr>
              <w:jc w:val="center"/>
              <w:rPr>
                <w:rFonts w:eastAsia="仿宋_GB2312"/>
                <w:color w:val="000000"/>
                <w:sz w:val="24"/>
              </w:rPr>
            </w:pPr>
            <w:r>
              <w:rPr>
                <w:rFonts w:eastAsia="仿宋_GB2312"/>
                <w:color w:val="000000"/>
                <w:sz w:val="24"/>
              </w:rPr>
              <w:t>检 测 方 法</w:t>
            </w:r>
          </w:p>
        </w:tc>
        <w:tc>
          <w:tcPr>
            <w:tcW w:w="1440" w:type="dxa"/>
            <w:noWrap w:val="0"/>
            <w:vAlign w:val="center"/>
          </w:tcPr>
          <w:p>
            <w:pPr>
              <w:jc w:val="center"/>
              <w:rPr>
                <w:rFonts w:eastAsia="仿宋_GB2312"/>
                <w:color w:val="000000"/>
                <w:sz w:val="24"/>
              </w:rPr>
            </w:pPr>
            <w:r>
              <w:rPr>
                <w:rFonts w:eastAsia="仿宋_GB2312"/>
                <w:color w:val="000000"/>
                <w:sz w:val="24"/>
              </w:rPr>
              <w:t>判定限量值（µg/kg）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60" w:type="dxa"/>
            <w:noWrap w:val="0"/>
            <w:vAlign w:val="center"/>
          </w:tcPr>
          <w:p>
            <w:pPr>
              <w:widowControl/>
              <w:jc w:val="center"/>
              <w:rPr>
                <w:rFonts w:eastAsia="仿宋_GB2312"/>
                <w:color w:val="000000"/>
                <w:kern w:val="0"/>
                <w:sz w:val="24"/>
              </w:rPr>
            </w:pPr>
            <w:r>
              <w:rPr>
                <w:rFonts w:eastAsia="仿宋_GB2312"/>
                <w:color w:val="000000"/>
                <w:kern w:val="0"/>
                <w:sz w:val="24"/>
              </w:rPr>
              <w:t>氯霉素</w:t>
            </w:r>
          </w:p>
        </w:tc>
        <w:tc>
          <w:tcPr>
            <w:tcW w:w="6300" w:type="dxa"/>
            <w:noWrap w:val="0"/>
            <w:vAlign w:val="center"/>
          </w:tcPr>
          <w:p>
            <w:pPr>
              <w:widowControl/>
              <w:jc w:val="left"/>
              <w:rPr>
                <w:rFonts w:eastAsia="仿宋_GB2312"/>
                <w:color w:val="000000"/>
                <w:kern w:val="0"/>
                <w:sz w:val="24"/>
              </w:rPr>
            </w:pPr>
            <w:r>
              <w:rPr>
                <w:rFonts w:eastAsia="仿宋_GB2312"/>
                <w:color w:val="000000"/>
                <w:kern w:val="0"/>
                <w:sz w:val="24"/>
              </w:rPr>
              <w:t>NY 5070-2002 附录A（筛选测定），GB/T 20756-2006  可食动物肌肉、肝脏和水产品中氯霉素、甲砜霉素和氟苯尼考残留量的测定 液相色谱-串联质谱法（确证）</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60" w:type="dxa"/>
            <w:noWrap w:val="0"/>
            <w:vAlign w:val="center"/>
          </w:tcPr>
          <w:p>
            <w:pPr>
              <w:widowControl/>
              <w:jc w:val="center"/>
              <w:rPr>
                <w:rFonts w:eastAsia="仿宋_GB2312"/>
                <w:color w:val="000000"/>
                <w:kern w:val="0"/>
                <w:sz w:val="24"/>
              </w:rPr>
            </w:pPr>
            <w:r>
              <w:rPr>
                <w:rFonts w:eastAsia="仿宋_GB2312"/>
                <w:color w:val="000000"/>
                <w:kern w:val="0"/>
                <w:sz w:val="24"/>
              </w:rPr>
              <w:t>孔雀石绿</w:t>
            </w:r>
          </w:p>
        </w:tc>
        <w:tc>
          <w:tcPr>
            <w:tcW w:w="6300" w:type="dxa"/>
            <w:noWrap w:val="0"/>
            <w:vAlign w:val="center"/>
          </w:tcPr>
          <w:p>
            <w:pPr>
              <w:widowControl/>
              <w:jc w:val="left"/>
              <w:rPr>
                <w:rFonts w:eastAsia="仿宋_GB2312"/>
                <w:color w:val="000000"/>
                <w:kern w:val="0"/>
                <w:sz w:val="24"/>
              </w:rPr>
            </w:pPr>
            <w:r>
              <w:rPr>
                <w:rFonts w:eastAsia="仿宋_GB2312"/>
                <w:color w:val="000000"/>
                <w:kern w:val="0"/>
                <w:sz w:val="24"/>
              </w:rPr>
              <w:t>GB/T 19857-2005  水产品中孔雀石绿和结晶紫残留量的测定</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60" w:type="dxa"/>
            <w:noWrap w:val="0"/>
            <w:vAlign w:val="center"/>
          </w:tcPr>
          <w:p>
            <w:pPr>
              <w:widowControl/>
              <w:jc w:val="center"/>
              <w:rPr>
                <w:rFonts w:eastAsia="仿宋_GB2312"/>
                <w:color w:val="000000"/>
                <w:kern w:val="0"/>
                <w:sz w:val="24"/>
              </w:rPr>
            </w:pPr>
            <w:r>
              <w:rPr>
                <w:rFonts w:eastAsia="仿宋_GB2312"/>
                <w:color w:val="000000"/>
                <w:kern w:val="0"/>
                <w:sz w:val="24"/>
              </w:rPr>
              <w:t>硝基呋喃类代谢物</w:t>
            </w:r>
          </w:p>
        </w:tc>
        <w:tc>
          <w:tcPr>
            <w:tcW w:w="6300" w:type="dxa"/>
            <w:noWrap w:val="0"/>
            <w:vAlign w:val="center"/>
          </w:tcPr>
          <w:p>
            <w:pPr>
              <w:widowControl/>
              <w:jc w:val="left"/>
              <w:rPr>
                <w:rFonts w:eastAsia="仿宋_GB2312"/>
                <w:color w:val="000000"/>
                <w:kern w:val="0"/>
                <w:sz w:val="24"/>
              </w:rPr>
            </w:pPr>
            <w:r>
              <w:rPr>
                <w:rFonts w:hint="eastAsia" w:eastAsia="仿宋_GB2312"/>
                <w:color w:val="000000"/>
                <w:kern w:val="0"/>
                <w:sz w:val="24"/>
              </w:rPr>
              <w:t>GB 31656.13-20</w:t>
            </w:r>
            <w:r>
              <w:rPr>
                <w:rFonts w:eastAsia="仿宋_GB2312"/>
                <w:color w:val="000000"/>
                <w:kern w:val="0"/>
                <w:sz w:val="24"/>
              </w:rPr>
              <w:t xml:space="preserve">21 </w:t>
            </w:r>
            <w:r>
              <w:rPr>
                <w:rFonts w:hint="eastAsia" w:eastAsia="仿宋_GB2312"/>
                <w:color w:val="000000"/>
                <w:kern w:val="0"/>
                <w:sz w:val="24"/>
              </w:rPr>
              <w:t>食品安全国家标准 水产品中硝基呋喃类代谢物多残留的测定或农业部783号公告-1-2006 水产品中硝基呋喃类代谢物残留量的测定</w:t>
            </w:r>
          </w:p>
        </w:tc>
        <w:tc>
          <w:tcPr>
            <w:tcW w:w="1440" w:type="dxa"/>
            <w:noWrap w:val="0"/>
            <w:vAlign w:val="center"/>
          </w:tcPr>
          <w:p>
            <w:pPr>
              <w:widowControl/>
              <w:snapToGrid w:val="0"/>
              <w:jc w:val="center"/>
              <w:rPr>
                <w:rFonts w:eastAsia="仿宋_GB2312"/>
                <w:color w:val="000000"/>
                <w:kern w:val="0"/>
                <w:sz w:val="24"/>
              </w:rPr>
            </w:pPr>
            <w:r>
              <w:rPr>
                <w:rFonts w:eastAsia="仿宋_GB2312"/>
                <w:color w:val="000000"/>
                <w:kern w:val="0"/>
                <w:sz w:val="24"/>
              </w:rPr>
              <w:t>各分项限量值为1.0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60" w:type="dxa"/>
            <w:noWrap w:val="0"/>
            <w:vAlign w:val="center"/>
          </w:tcPr>
          <w:p>
            <w:pPr>
              <w:widowControl/>
              <w:jc w:val="center"/>
              <w:rPr>
                <w:rFonts w:eastAsia="仿宋_GB2312"/>
                <w:color w:val="000000"/>
                <w:kern w:val="0"/>
                <w:sz w:val="24"/>
              </w:rPr>
            </w:pPr>
            <w:r>
              <w:rPr>
                <w:rFonts w:hint="eastAsia" w:eastAsia="仿宋_GB2312"/>
                <w:color w:val="000000"/>
                <w:kern w:val="0"/>
                <w:sz w:val="24"/>
              </w:rPr>
              <w:t>洛美沙星</w:t>
            </w:r>
          </w:p>
        </w:tc>
        <w:tc>
          <w:tcPr>
            <w:tcW w:w="6300" w:type="dxa"/>
            <w:noWrap w:val="0"/>
            <w:vAlign w:val="center"/>
          </w:tcPr>
          <w:p>
            <w:pPr>
              <w:widowControl/>
              <w:rPr>
                <w:rFonts w:eastAsia="仿宋_GB2312"/>
                <w:color w:val="000000"/>
                <w:kern w:val="0"/>
                <w:sz w:val="24"/>
              </w:rPr>
            </w:pPr>
            <w:r>
              <w:rPr>
                <w:rFonts w:eastAsia="仿宋_GB2312"/>
                <w:color w:val="000000"/>
                <w:kern w:val="0"/>
                <w:sz w:val="24"/>
              </w:rPr>
              <w:t>农业部1077号公告-1-2008 水产品中17种磺胺类及15种喹诺酮类药物残留量的测定 液相色谱-串联质谱法</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60" w:type="dxa"/>
            <w:noWrap w:val="0"/>
            <w:vAlign w:val="center"/>
          </w:tcPr>
          <w:p>
            <w:pPr>
              <w:widowControl/>
              <w:jc w:val="center"/>
              <w:rPr>
                <w:rFonts w:eastAsia="仿宋_GB2312"/>
                <w:color w:val="000000"/>
                <w:kern w:val="0"/>
                <w:sz w:val="24"/>
              </w:rPr>
            </w:pPr>
            <w:r>
              <w:rPr>
                <w:rFonts w:hint="eastAsia" w:eastAsia="仿宋_GB2312"/>
                <w:color w:val="000000"/>
                <w:kern w:val="0"/>
                <w:sz w:val="24"/>
              </w:rPr>
              <w:t>培氟沙星</w:t>
            </w:r>
          </w:p>
        </w:tc>
        <w:tc>
          <w:tcPr>
            <w:tcW w:w="6300" w:type="dxa"/>
            <w:noWrap w:val="0"/>
            <w:vAlign w:val="center"/>
          </w:tcPr>
          <w:p>
            <w:pPr>
              <w:widowControl/>
              <w:rPr>
                <w:rFonts w:eastAsia="仿宋_GB2312"/>
                <w:color w:val="000000"/>
                <w:kern w:val="0"/>
                <w:sz w:val="24"/>
              </w:rPr>
            </w:pPr>
            <w:r>
              <w:rPr>
                <w:rFonts w:eastAsia="仿宋_GB2312"/>
                <w:color w:val="000000"/>
                <w:kern w:val="0"/>
                <w:sz w:val="24"/>
              </w:rPr>
              <w:t>农业部1077号公告-1-2008 水产品中17种磺胺类及15种喹诺酮类药物残留量的测定 液相色谱-串联质谱法</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60" w:type="dxa"/>
            <w:noWrap w:val="0"/>
            <w:vAlign w:val="center"/>
          </w:tcPr>
          <w:p>
            <w:pPr>
              <w:widowControl/>
              <w:jc w:val="center"/>
              <w:rPr>
                <w:rFonts w:eastAsia="仿宋_GB2312"/>
                <w:color w:val="000000"/>
                <w:kern w:val="0"/>
                <w:sz w:val="24"/>
              </w:rPr>
            </w:pPr>
            <w:r>
              <w:rPr>
                <w:rFonts w:eastAsia="仿宋_GB2312"/>
                <w:color w:val="000000"/>
                <w:kern w:val="0"/>
                <w:sz w:val="24"/>
              </w:rPr>
              <w:t>诺氟沙星</w:t>
            </w:r>
          </w:p>
        </w:tc>
        <w:tc>
          <w:tcPr>
            <w:tcW w:w="6300" w:type="dxa"/>
            <w:noWrap w:val="0"/>
            <w:vAlign w:val="center"/>
          </w:tcPr>
          <w:p>
            <w:pPr>
              <w:widowControl/>
              <w:rPr>
                <w:rFonts w:eastAsia="仿宋_GB2312"/>
                <w:color w:val="000000"/>
                <w:kern w:val="0"/>
                <w:sz w:val="24"/>
              </w:rPr>
            </w:pPr>
            <w:r>
              <w:rPr>
                <w:rFonts w:eastAsia="仿宋_GB2312"/>
                <w:color w:val="000000"/>
                <w:kern w:val="0"/>
                <w:sz w:val="24"/>
              </w:rPr>
              <w:t>农业部1077号公告-1-2008 水产品中17种磺胺类及15种喹诺酮类药物残留量的测定 液相色谱-串联质谱法</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60" w:type="dxa"/>
            <w:noWrap w:val="0"/>
            <w:vAlign w:val="center"/>
          </w:tcPr>
          <w:p>
            <w:pPr>
              <w:widowControl/>
              <w:jc w:val="center"/>
              <w:rPr>
                <w:rFonts w:eastAsia="仿宋_GB2312"/>
                <w:color w:val="000000"/>
                <w:kern w:val="0"/>
                <w:sz w:val="24"/>
              </w:rPr>
            </w:pPr>
            <w:r>
              <w:rPr>
                <w:rFonts w:eastAsia="仿宋_GB2312"/>
                <w:color w:val="000000"/>
                <w:kern w:val="0"/>
                <w:sz w:val="24"/>
              </w:rPr>
              <w:t>氧氟沙星</w:t>
            </w:r>
          </w:p>
        </w:tc>
        <w:tc>
          <w:tcPr>
            <w:tcW w:w="6300" w:type="dxa"/>
            <w:noWrap w:val="0"/>
            <w:vAlign w:val="center"/>
          </w:tcPr>
          <w:p>
            <w:pPr>
              <w:widowControl/>
              <w:rPr>
                <w:rFonts w:eastAsia="仿宋_GB2312"/>
                <w:color w:val="000000"/>
                <w:kern w:val="0"/>
                <w:sz w:val="24"/>
              </w:rPr>
            </w:pPr>
            <w:r>
              <w:rPr>
                <w:rFonts w:eastAsia="仿宋_GB2312"/>
                <w:color w:val="000000"/>
                <w:kern w:val="0"/>
                <w:sz w:val="24"/>
              </w:rPr>
              <w:t>农业部1077号公告-1-2008 水产品中17种磺胺类及15种喹诺酮类药物残留量的测定 液相色谱-串联质谱法</w:t>
            </w:r>
          </w:p>
        </w:tc>
        <w:tc>
          <w:tcPr>
            <w:tcW w:w="1440" w:type="dxa"/>
            <w:noWrap w:val="0"/>
            <w:vAlign w:val="center"/>
          </w:tcPr>
          <w:p>
            <w:pPr>
              <w:widowControl/>
              <w:jc w:val="center"/>
              <w:rPr>
                <w:rFonts w:eastAsia="仿宋_GB2312"/>
                <w:color w:val="000000"/>
                <w:kern w:val="0"/>
                <w:sz w:val="24"/>
              </w:rPr>
            </w:pPr>
            <w:r>
              <w:rPr>
                <w:rFonts w:eastAsia="仿宋_GB2312"/>
                <w:color w:val="000000"/>
                <w:kern w:val="0"/>
                <w:sz w:val="24"/>
              </w:rPr>
              <w:t>2.0</w:t>
            </w:r>
          </w:p>
        </w:tc>
      </w:tr>
    </w:tbl>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jc w:val="left"/>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hint="eastAsia" w:eastAsia="仿宋_GB2312"/>
          <w:color w:val="000000"/>
          <w:sz w:val="32"/>
          <w:szCs w:val="32"/>
        </w:rPr>
      </w:pPr>
    </w:p>
    <w:p>
      <w:pPr>
        <w:rPr>
          <w:rFonts w:eastAsia="仿宋_GB2312"/>
          <w:color w:val="000000"/>
          <w:sz w:val="32"/>
          <w:szCs w:val="32"/>
        </w:rPr>
      </w:pPr>
    </w:p>
    <w:p>
      <w:pPr>
        <w:rPr>
          <w:rFonts w:hint="eastAsia" w:eastAsia="黑体"/>
          <w:color w:val="000000"/>
          <w:kern w:val="0"/>
          <w:sz w:val="32"/>
          <w:szCs w:val="32"/>
        </w:rPr>
      </w:pPr>
      <w:r>
        <w:rPr>
          <w:rFonts w:eastAsia="黑体"/>
          <w:color w:val="000000"/>
          <w:kern w:val="0"/>
          <w:sz w:val="32"/>
          <w:szCs w:val="32"/>
        </w:rPr>
        <w:t>附件5</w:t>
      </w:r>
    </w:p>
    <w:p>
      <w:pPr>
        <w:rPr>
          <w:rFonts w:eastAsia="黑体"/>
          <w:color w:val="000000"/>
          <w:kern w:val="0"/>
          <w:sz w:val="32"/>
          <w:szCs w:val="32"/>
        </w:rPr>
      </w:pPr>
    </w:p>
    <w:p>
      <w:pPr>
        <w:jc w:val="center"/>
        <w:rPr>
          <w:rFonts w:eastAsia="方正小标宋简体"/>
          <w:color w:val="000000"/>
          <w:sz w:val="44"/>
          <w:szCs w:val="44"/>
        </w:rPr>
      </w:pPr>
      <w:r>
        <w:rPr>
          <w:rFonts w:hint="eastAsia" w:eastAsia="方正小标宋简体"/>
          <w:color w:val="000000"/>
          <w:sz w:val="44"/>
          <w:szCs w:val="44"/>
        </w:rPr>
        <w:t xml:space="preserve"> </w:t>
      </w:r>
      <w:r>
        <w:rPr>
          <w:rFonts w:eastAsia="方正小标宋简体"/>
          <w:color w:val="000000"/>
          <w:sz w:val="44"/>
          <w:szCs w:val="44"/>
        </w:rPr>
        <w:t>广西水产品质量安全监督抽查拒检确认书</w:t>
      </w:r>
    </w:p>
    <w:p>
      <w:pPr>
        <w:jc w:val="center"/>
        <w:rPr>
          <w:rFonts w:eastAsia="方正小标宋简体"/>
          <w:color w:val="000000"/>
          <w:sz w:val="44"/>
          <w:szCs w:val="44"/>
        </w:rPr>
      </w:pPr>
    </w:p>
    <w:p>
      <w:pPr>
        <w:rPr>
          <w:rFonts w:eastAsia="仿宋_GB2312"/>
          <w:color w:val="000000"/>
          <w:sz w:val="32"/>
          <w:szCs w:val="32"/>
        </w:rPr>
      </w:pPr>
      <w:r>
        <w:rPr>
          <w:rFonts w:eastAsia="仿宋_GB2312"/>
          <w:color w:val="000000"/>
          <w:sz w:val="32"/>
          <w:szCs w:val="32"/>
        </w:rPr>
        <w:t>抽样单位（公章）：</w:t>
      </w:r>
      <w:r>
        <w:rPr>
          <w:rFonts w:eastAsia="仿宋_GB2312"/>
          <w:color w:val="000000"/>
          <w:sz w:val="32"/>
          <w:szCs w:val="32"/>
          <w:u w:val="single"/>
        </w:rPr>
        <w:t xml:space="preserve">                     </w:t>
      </w:r>
      <w:r>
        <w:rPr>
          <w:rFonts w:eastAsia="仿宋_GB2312"/>
          <w:color w:val="000000"/>
          <w:sz w:val="32"/>
          <w:szCs w:val="32"/>
        </w:rPr>
        <w:t xml:space="preserve"> 编号：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3399"/>
        <w:gridCol w:w="185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抽样任务来源</w:t>
            </w:r>
          </w:p>
        </w:tc>
        <w:tc>
          <w:tcPr>
            <w:tcW w:w="4106" w:type="pct"/>
            <w:gridSpan w:val="3"/>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被抽样单位名称</w:t>
            </w:r>
          </w:p>
        </w:tc>
        <w:tc>
          <w:tcPr>
            <w:tcW w:w="1830" w:type="pct"/>
            <w:noWrap w:val="0"/>
            <w:vAlign w:val="center"/>
          </w:tcPr>
          <w:p>
            <w:pPr>
              <w:jc w:val="center"/>
              <w:rPr>
                <w:rFonts w:eastAsia="仿宋_GB2312"/>
                <w:color w:val="000000"/>
                <w:sz w:val="32"/>
                <w:szCs w:val="32"/>
              </w:rPr>
            </w:pPr>
          </w:p>
        </w:tc>
        <w:tc>
          <w:tcPr>
            <w:tcW w:w="998"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拒抽样品</w:t>
            </w:r>
          </w:p>
          <w:p>
            <w:pPr>
              <w:spacing w:line="360" w:lineRule="exact"/>
              <w:jc w:val="center"/>
              <w:rPr>
                <w:rFonts w:eastAsia="仿宋_GB2312"/>
                <w:color w:val="000000"/>
                <w:sz w:val="32"/>
                <w:szCs w:val="32"/>
              </w:rPr>
            </w:pPr>
            <w:r>
              <w:rPr>
                <w:rFonts w:eastAsia="仿宋_GB2312"/>
                <w:color w:val="000000"/>
                <w:sz w:val="32"/>
                <w:szCs w:val="32"/>
              </w:rPr>
              <w:t>品种</w:t>
            </w:r>
          </w:p>
        </w:tc>
        <w:tc>
          <w:tcPr>
            <w:tcW w:w="1278" w:type="pct"/>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被抽样单位人员（签名）</w:t>
            </w:r>
          </w:p>
        </w:tc>
        <w:tc>
          <w:tcPr>
            <w:tcW w:w="1830" w:type="pct"/>
            <w:noWrap w:val="0"/>
            <w:vAlign w:val="center"/>
          </w:tcPr>
          <w:p>
            <w:pPr>
              <w:jc w:val="center"/>
              <w:rPr>
                <w:rFonts w:eastAsia="仿宋_GB2312"/>
                <w:color w:val="000000"/>
                <w:sz w:val="32"/>
                <w:szCs w:val="32"/>
              </w:rPr>
            </w:pPr>
          </w:p>
        </w:tc>
        <w:tc>
          <w:tcPr>
            <w:tcW w:w="998"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被抽样单位人员电话</w:t>
            </w:r>
          </w:p>
        </w:tc>
        <w:tc>
          <w:tcPr>
            <w:tcW w:w="1278" w:type="pct"/>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拒绝抽样时间</w:t>
            </w:r>
          </w:p>
        </w:tc>
        <w:tc>
          <w:tcPr>
            <w:tcW w:w="1830" w:type="pct"/>
            <w:noWrap w:val="0"/>
            <w:vAlign w:val="center"/>
          </w:tcPr>
          <w:p>
            <w:pPr>
              <w:jc w:val="center"/>
              <w:rPr>
                <w:rFonts w:eastAsia="仿宋_GB2312"/>
                <w:color w:val="000000"/>
                <w:sz w:val="32"/>
                <w:szCs w:val="32"/>
              </w:rPr>
            </w:pPr>
          </w:p>
        </w:tc>
        <w:tc>
          <w:tcPr>
            <w:tcW w:w="998"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拒绝抽样原因</w:t>
            </w:r>
          </w:p>
        </w:tc>
        <w:tc>
          <w:tcPr>
            <w:tcW w:w="1278" w:type="pct"/>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抽样人员（签名）</w:t>
            </w:r>
          </w:p>
        </w:tc>
        <w:tc>
          <w:tcPr>
            <w:tcW w:w="1830" w:type="pct"/>
            <w:noWrap w:val="0"/>
            <w:vAlign w:val="center"/>
          </w:tcPr>
          <w:p>
            <w:pPr>
              <w:spacing w:line="360" w:lineRule="exact"/>
              <w:jc w:val="center"/>
              <w:rPr>
                <w:rFonts w:eastAsia="仿宋_GB2312"/>
                <w:color w:val="000000"/>
                <w:sz w:val="32"/>
                <w:szCs w:val="32"/>
              </w:rPr>
            </w:pPr>
          </w:p>
        </w:tc>
        <w:tc>
          <w:tcPr>
            <w:tcW w:w="998"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见证人（签名）</w:t>
            </w:r>
          </w:p>
        </w:tc>
        <w:tc>
          <w:tcPr>
            <w:tcW w:w="1278" w:type="pct"/>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94" w:type="pct"/>
            <w:noWrap w:val="0"/>
            <w:vAlign w:val="center"/>
          </w:tcPr>
          <w:p>
            <w:pPr>
              <w:spacing w:line="360" w:lineRule="exact"/>
              <w:jc w:val="center"/>
              <w:rPr>
                <w:rFonts w:eastAsia="仿宋_GB2312"/>
                <w:color w:val="000000"/>
                <w:sz w:val="32"/>
                <w:szCs w:val="32"/>
              </w:rPr>
            </w:pPr>
            <w:r>
              <w:rPr>
                <w:rFonts w:eastAsia="仿宋_GB2312"/>
                <w:color w:val="000000"/>
                <w:sz w:val="32"/>
                <w:szCs w:val="32"/>
              </w:rPr>
              <w:t>无正当理由拒绝抽样后果</w:t>
            </w:r>
          </w:p>
        </w:tc>
        <w:tc>
          <w:tcPr>
            <w:tcW w:w="4106" w:type="pct"/>
            <w:gridSpan w:val="3"/>
            <w:noWrap w:val="0"/>
            <w:vAlign w:val="center"/>
          </w:tcPr>
          <w:p>
            <w:pPr>
              <w:jc w:val="center"/>
              <w:rPr>
                <w:rFonts w:eastAsia="仿宋_GB2312"/>
                <w:color w:val="000000"/>
                <w:sz w:val="32"/>
                <w:szCs w:val="32"/>
              </w:rPr>
            </w:pPr>
            <w:r>
              <w:rPr>
                <w:rFonts w:eastAsia="仿宋_GB2312"/>
                <w:color w:val="000000"/>
                <w:sz w:val="32"/>
                <w:szCs w:val="32"/>
              </w:rPr>
              <w:t>对被拒绝抽查水产品以不合格论处。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894" w:type="pct"/>
            <w:noWrap w:val="0"/>
            <w:vAlign w:val="center"/>
          </w:tcPr>
          <w:p>
            <w:pPr>
              <w:jc w:val="center"/>
              <w:rPr>
                <w:rFonts w:eastAsia="仿宋_GB2312"/>
                <w:color w:val="000000"/>
                <w:sz w:val="32"/>
                <w:szCs w:val="32"/>
              </w:rPr>
            </w:pPr>
            <w:r>
              <w:rPr>
                <w:rFonts w:eastAsia="仿宋_GB2312"/>
                <w:color w:val="000000"/>
                <w:sz w:val="32"/>
                <w:szCs w:val="32"/>
              </w:rPr>
              <w:t>备注</w:t>
            </w:r>
          </w:p>
        </w:tc>
        <w:tc>
          <w:tcPr>
            <w:tcW w:w="4106" w:type="pct"/>
            <w:gridSpan w:val="3"/>
            <w:noWrap w:val="0"/>
            <w:vAlign w:val="center"/>
          </w:tcPr>
          <w:p>
            <w:pPr>
              <w:spacing w:line="380" w:lineRule="exact"/>
              <w:jc w:val="left"/>
              <w:rPr>
                <w:rFonts w:eastAsia="仿宋_GB2312"/>
                <w:color w:val="000000"/>
                <w:sz w:val="24"/>
              </w:rPr>
            </w:pPr>
            <w:r>
              <w:rPr>
                <w:rFonts w:eastAsia="仿宋_GB2312"/>
                <w:color w:val="000000"/>
                <w:sz w:val="24"/>
              </w:rPr>
              <w:t>1、按照《农产品质量安全监测管理办法》（农业部令2012年第7号）第二十二条规定，有下列情形之一的，被抽样人可以拒绝抽样：（1）具有执法证件的抽样人员少于两名的；（2）抽样人员未出示执法证件或工作证件的；</w:t>
            </w:r>
          </w:p>
          <w:p>
            <w:pPr>
              <w:spacing w:line="380" w:lineRule="exact"/>
              <w:jc w:val="left"/>
              <w:rPr>
                <w:rFonts w:eastAsia="仿宋_GB2312"/>
                <w:color w:val="000000"/>
                <w:sz w:val="24"/>
              </w:rPr>
            </w:pPr>
            <w:r>
              <w:rPr>
                <w:rFonts w:eastAsia="仿宋_GB2312"/>
                <w:color w:val="000000"/>
                <w:sz w:val="24"/>
              </w:rPr>
              <w:t>2、《农产品质量安全监测管理办法》第二十三条规定:被抽查人无正当理由拒绝抽样的，抽样人员应当告知拒绝抽样的后果和处理措施。被抽查人仍拒绝抽样的，抽样人员应当现场填写监督抽查拒检确认文书，由抽样人员和见证人共同签字，并及时向当地农业行政主管部门报告情况，对被抽查农产品以不合格论处。</w:t>
            </w:r>
          </w:p>
        </w:tc>
      </w:tr>
    </w:tbl>
    <w:p>
      <w:pPr>
        <w:rPr>
          <w:rFonts w:eastAsia="仿宋_GB2312"/>
          <w:color w:val="000000"/>
          <w:sz w:val="32"/>
          <w:szCs w:val="32"/>
        </w:rPr>
      </w:pPr>
      <w:r>
        <w:rPr>
          <w:rFonts w:eastAsia="仿宋_GB2312"/>
          <w:color w:val="000000"/>
          <w:sz w:val="32"/>
          <w:szCs w:val="32"/>
        </w:rPr>
        <w:t xml:space="preserve">   一式四份，抽样单位、被抽样单位、当地及</w:t>
      </w:r>
      <w:r>
        <w:rPr>
          <w:rFonts w:hint="eastAsia" w:eastAsia="仿宋_GB2312"/>
          <w:color w:val="000000"/>
          <w:sz w:val="32"/>
          <w:szCs w:val="32"/>
        </w:rPr>
        <w:t>自治区农业农村厅</w:t>
      </w:r>
      <w:r>
        <w:rPr>
          <w:rFonts w:eastAsia="仿宋_GB2312"/>
          <w:color w:val="000000"/>
          <w:sz w:val="32"/>
          <w:szCs w:val="32"/>
        </w:rPr>
        <w:t>各一份。</w:t>
      </w:r>
    </w:p>
    <w:p>
      <w:pPr>
        <w:spacing w:before="120" w:beforeLines="50" w:after="120" w:afterLines="50"/>
        <w:rPr>
          <w:rFonts w:eastAsia="仿宋_GB2312"/>
          <w:color w:val="000000"/>
          <w:sz w:val="36"/>
          <w:szCs w:val="36"/>
        </w:rPr>
        <w:sectPr>
          <w:pgSz w:w="11906" w:h="16838"/>
          <w:pgMar w:top="1418" w:right="1418" w:bottom="567" w:left="1418" w:header="851" w:footer="992" w:gutter="0"/>
          <w:cols w:space="720" w:num="1"/>
          <w:docGrid w:linePitch="312" w:charSpace="0"/>
        </w:sectPr>
      </w:pPr>
    </w:p>
    <w:p>
      <w:pPr>
        <w:adjustRightInd w:val="0"/>
        <w:snapToGrid w:val="0"/>
        <w:spacing w:line="360" w:lineRule="auto"/>
        <w:rPr>
          <w:rFonts w:eastAsia="黑体"/>
          <w:color w:val="000000"/>
          <w:sz w:val="32"/>
          <w:szCs w:val="32"/>
        </w:rPr>
      </w:pPr>
      <w:r>
        <w:rPr>
          <w:rFonts w:eastAsia="黑体"/>
          <w:color w:val="000000"/>
          <w:sz w:val="32"/>
          <w:szCs w:val="32"/>
        </w:rPr>
        <w:t>附件6</w:t>
      </w:r>
    </w:p>
    <w:p>
      <w:pPr>
        <w:jc w:val="center"/>
        <w:rPr>
          <w:rFonts w:hint="eastAsia" w:eastAsia="方正小标宋简体"/>
          <w:color w:val="000000"/>
          <w:sz w:val="44"/>
          <w:szCs w:val="44"/>
        </w:rPr>
      </w:pPr>
      <w:r>
        <w:rPr>
          <w:rFonts w:hint="eastAsia" w:eastAsia="方正小标宋简体"/>
          <w:color w:val="000000"/>
          <w:sz w:val="44"/>
          <w:szCs w:val="44"/>
        </w:rPr>
        <w:t>广西水产品质量安全监督抽查结果汇总表</w:t>
      </w:r>
    </w:p>
    <w:p>
      <w:pPr>
        <w:jc w:val="center"/>
        <w:rPr>
          <w:rFonts w:eastAsia="方正小标宋简体"/>
          <w:color w:val="000000"/>
          <w:sz w:val="44"/>
          <w:szCs w:val="44"/>
        </w:rPr>
      </w:pPr>
    </w:p>
    <w:p>
      <w:pPr>
        <w:jc w:val="center"/>
        <w:rPr>
          <w:rFonts w:ascii="仿宋_GB2312" w:eastAsia="仿宋_GB2312"/>
          <w:color w:val="000000"/>
          <w:sz w:val="30"/>
          <w:szCs w:val="30"/>
        </w:rPr>
      </w:pPr>
      <w:r>
        <w:rPr>
          <w:rFonts w:hint="eastAsia" w:ascii="仿宋_GB2312" w:eastAsia="仿宋_GB2312"/>
          <w:color w:val="000000"/>
          <w:sz w:val="30"/>
          <w:szCs w:val="30"/>
        </w:rPr>
        <w:t>（2023年第</w:t>
      </w:r>
      <w:r>
        <w:rPr>
          <w:rFonts w:ascii="仿宋_GB2312" w:eastAsia="仿宋_GB2312"/>
          <w:color w:val="000000"/>
          <w:sz w:val="30"/>
          <w:szCs w:val="30"/>
        </w:rPr>
        <w:t xml:space="preserve"> </w:t>
      </w:r>
      <w:r>
        <w:rPr>
          <w:rFonts w:hint="eastAsia" w:ascii="仿宋_GB2312" w:eastAsia="仿宋_GB2312"/>
          <w:color w:val="000000"/>
          <w:sz w:val="30"/>
          <w:szCs w:val="30"/>
        </w:rPr>
        <w:t>次）</w:t>
      </w:r>
    </w:p>
    <w:p>
      <w:pPr>
        <w:rPr>
          <w:rFonts w:ascii="仿宋_GB2312" w:eastAsia="仿宋_GB2312"/>
          <w:color w:val="000000"/>
          <w:sz w:val="24"/>
        </w:rPr>
      </w:pPr>
      <w:r>
        <w:rPr>
          <w:rFonts w:hint="eastAsia" w:ascii="仿宋_GB2312" w:eastAsia="仿宋_GB2312"/>
          <w:color w:val="000000"/>
          <w:sz w:val="24"/>
        </w:rPr>
        <w:t>检测单位：</w:t>
      </w:r>
      <w:r>
        <w:rPr>
          <w:rFonts w:ascii="仿宋_GB2312" w:eastAsia="仿宋_GB2312"/>
          <w:color w:val="000000"/>
          <w:sz w:val="24"/>
        </w:rPr>
        <w:t xml:space="preserve"> </w:t>
      </w:r>
      <w:r>
        <w:rPr>
          <w:rFonts w:eastAsia="仿宋_GB2312"/>
          <w:color w:val="000000"/>
          <w:sz w:val="24"/>
        </w:rPr>
        <w:t xml:space="preserve">                                             </w:t>
      </w:r>
      <w:r>
        <w:rPr>
          <w:rFonts w:hint="eastAsia" w:ascii="仿宋_GB2312" w:eastAsia="仿宋_GB2312"/>
          <w:color w:val="000000"/>
          <w:sz w:val="24"/>
        </w:rPr>
        <w:t>日期：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7"/>
        <w:gridCol w:w="1212"/>
        <w:gridCol w:w="1074"/>
        <w:gridCol w:w="860"/>
        <w:gridCol w:w="934"/>
        <w:gridCol w:w="630"/>
        <w:gridCol w:w="1038"/>
        <w:gridCol w:w="850"/>
        <w:gridCol w:w="851"/>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57" w:type="dxa"/>
            <w:vMerge w:val="restart"/>
            <w:noWrap w:val="0"/>
            <w:tcMar>
              <w:top w:w="30" w:type="dxa"/>
              <w:left w:w="75" w:type="dxa"/>
              <w:bottom w:w="30" w:type="dxa"/>
              <w:right w:w="75" w:type="dxa"/>
            </w:tcMar>
            <w:vAlign w:val="center"/>
          </w:tcPr>
          <w:p>
            <w:pPr>
              <w:jc w:val="center"/>
              <w:rPr>
                <w:rFonts w:ascii="仿宋" w:hAnsi="仿宋" w:eastAsia="仿宋"/>
                <w:b/>
                <w:color w:val="000000"/>
              </w:rPr>
            </w:pPr>
            <w:r>
              <w:rPr>
                <w:rFonts w:hint="eastAsia" w:ascii="仿宋" w:hAnsi="仿宋" w:eastAsia="仿宋"/>
                <w:b/>
                <w:color w:val="000000"/>
              </w:rPr>
              <w:t>序号</w:t>
            </w:r>
          </w:p>
        </w:tc>
        <w:tc>
          <w:tcPr>
            <w:tcW w:w="1212" w:type="dxa"/>
            <w:vMerge w:val="restart"/>
            <w:noWrap w:val="0"/>
            <w:tcMar>
              <w:top w:w="30" w:type="dxa"/>
              <w:left w:w="75" w:type="dxa"/>
              <w:bottom w:w="30" w:type="dxa"/>
              <w:right w:w="75" w:type="dxa"/>
            </w:tcMar>
            <w:vAlign w:val="center"/>
          </w:tcPr>
          <w:p>
            <w:pPr>
              <w:jc w:val="center"/>
              <w:rPr>
                <w:rFonts w:ascii="仿宋" w:hAnsi="仿宋" w:eastAsia="仿宋"/>
                <w:b/>
                <w:color w:val="000000"/>
              </w:rPr>
            </w:pPr>
            <w:r>
              <w:rPr>
                <w:rFonts w:hint="eastAsia" w:ascii="仿宋" w:hAnsi="仿宋" w:eastAsia="仿宋"/>
                <w:b/>
                <w:color w:val="000000"/>
              </w:rPr>
              <w:t>监测城市</w:t>
            </w:r>
          </w:p>
          <w:p>
            <w:pPr>
              <w:jc w:val="center"/>
              <w:rPr>
                <w:rFonts w:ascii="仿宋" w:hAnsi="仿宋" w:eastAsia="仿宋"/>
                <w:b/>
                <w:color w:val="000000"/>
              </w:rPr>
            </w:pPr>
            <w:r>
              <w:rPr>
                <w:rFonts w:hint="eastAsia" w:ascii="仿宋" w:hAnsi="仿宋" w:eastAsia="仿宋"/>
                <w:b/>
                <w:color w:val="000000"/>
              </w:rPr>
              <w:t>名称</w:t>
            </w:r>
          </w:p>
        </w:tc>
        <w:tc>
          <w:tcPr>
            <w:tcW w:w="3498" w:type="dxa"/>
            <w:gridSpan w:val="4"/>
            <w:noWrap w:val="0"/>
            <w:tcMar>
              <w:top w:w="30" w:type="dxa"/>
              <w:left w:w="75" w:type="dxa"/>
              <w:bottom w:w="30" w:type="dxa"/>
              <w:right w:w="75" w:type="dxa"/>
            </w:tcMar>
            <w:vAlign w:val="center"/>
          </w:tcPr>
          <w:p>
            <w:pPr>
              <w:jc w:val="center"/>
              <w:rPr>
                <w:rFonts w:ascii="仿宋" w:hAnsi="仿宋" w:eastAsia="仿宋"/>
                <w:b/>
                <w:color w:val="000000"/>
              </w:rPr>
            </w:pPr>
            <w:r>
              <w:rPr>
                <w:rFonts w:hint="eastAsia" w:ascii="仿宋" w:hAnsi="仿宋" w:eastAsia="仿宋"/>
                <w:b/>
                <w:color w:val="000000"/>
              </w:rPr>
              <w:t>本次合计</w:t>
            </w:r>
          </w:p>
        </w:tc>
        <w:tc>
          <w:tcPr>
            <w:tcW w:w="3497" w:type="dxa"/>
            <w:gridSpan w:val="4"/>
            <w:noWrap w:val="0"/>
            <w:tcMar>
              <w:top w:w="30" w:type="dxa"/>
              <w:left w:w="75" w:type="dxa"/>
              <w:bottom w:w="30" w:type="dxa"/>
              <w:right w:w="75" w:type="dxa"/>
            </w:tcMar>
            <w:vAlign w:val="center"/>
          </w:tcPr>
          <w:p>
            <w:pPr>
              <w:jc w:val="center"/>
              <w:rPr>
                <w:rFonts w:ascii="仿宋" w:hAnsi="仿宋" w:eastAsia="仿宋"/>
                <w:b/>
                <w:color w:val="000000"/>
              </w:rPr>
            </w:pPr>
            <w:r>
              <w:rPr>
                <w:rFonts w:hint="eastAsia" w:ascii="仿宋" w:hAnsi="仿宋" w:eastAsia="仿宋"/>
                <w:b/>
                <w:color w:val="000000"/>
              </w:rPr>
              <w:t>累</w:t>
            </w:r>
            <w:r>
              <w:rPr>
                <w:rFonts w:ascii="仿宋" w:hAnsi="仿宋" w:eastAsia="仿宋"/>
                <w:b/>
                <w:color w:val="000000"/>
              </w:rPr>
              <w:t xml:space="preserve"> </w:t>
            </w:r>
            <w:r>
              <w:rPr>
                <w:rFonts w:hint="eastAsia" w:ascii="仿宋" w:hAnsi="仿宋" w:eastAsia="仿宋"/>
                <w:b/>
                <w:color w:val="00000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7" w:type="dxa"/>
            <w:vMerge w:val="continue"/>
            <w:noWrap w:val="0"/>
            <w:vAlign w:val="center"/>
          </w:tcPr>
          <w:p>
            <w:pPr>
              <w:jc w:val="center"/>
              <w:rPr>
                <w:rFonts w:ascii="仿宋" w:hAnsi="仿宋" w:eastAsia="仿宋"/>
                <w:b/>
                <w:color w:val="000000"/>
              </w:rPr>
            </w:pPr>
          </w:p>
        </w:tc>
        <w:tc>
          <w:tcPr>
            <w:tcW w:w="1212" w:type="dxa"/>
            <w:vMerge w:val="continue"/>
            <w:noWrap w:val="0"/>
            <w:vAlign w:val="center"/>
          </w:tcPr>
          <w:p>
            <w:pPr>
              <w:jc w:val="center"/>
              <w:rPr>
                <w:rFonts w:ascii="仿宋" w:hAnsi="仿宋" w:eastAsia="仿宋"/>
                <w:b/>
                <w:color w:val="000000"/>
              </w:rPr>
            </w:pP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监测样品数（个）</w:t>
            </w: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合格样品（个）</w:t>
            </w: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合格率（％）</w:t>
            </w: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排位</w:t>
            </w: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监测样品数（个）</w:t>
            </w: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合格样品（个）</w:t>
            </w: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合格率（％）</w:t>
            </w: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b/>
                <w:color w:val="000000"/>
              </w:rPr>
            </w:pPr>
            <w:r>
              <w:rPr>
                <w:rFonts w:hint="eastAsia" w:ascii="仿宋" w:hAnsi="仿宋" w:eastAsia="仿宋"/>
                <w:b/>
                <w:color w:val="000000"/>
              </w:rPr>
              <w:t>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69" w:type="dxa"/>
            <w:gridSpan w:val="2"/>
            <w:noWrap w:val="0"/>
            <w:vAlign w:val="center"/>
          </w:tcPr>
          <w:p>
            <w:pPr>
              <w:spacing w:line="300" w:lineRule="exact"/>
              <w:jc w:val="center"/>
              <w:rPr>
                <w:rFonts w:ascii="仿宋" w:hAnsi="仿宋" w:eastAsia="仿宋"/>
                <w:color w:val="000000"/>
              </w:rPr>
            </w:pPr>
            <w:r>
              <w:rPr>
                <w:rFonts w:hint="eastAsia" w:ascii="仿宋" w:hAnsi="仿宋" w:eastAsia="仿宋"/>
                <w:color w:val="000000"/>
              </w:rPr>
              <w:t>合</w:t>
            </w:r>
            <w:r>
              <w:rPr>
                <w:rFonts w:ascii="仿宋" w:hAnsi="仿宋" w:eastAsia="仿宋"/>
                <w:color w:val="000000"/>
              </w:rPr>
              <w:t xml:space="preserve"> </w:t>
            </w:r>
            <w:r>
              <w:rPr>
                <w:rFonts w:hint="eastAsia" w:ascii="仿宋" w:hAnsi="仿宋" w:eastAsia="仿宋"/>
                <w:color w:val="000000"/>
              </w:rPr>
              <w:t>计</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南宁市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柳州市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桂林市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梧州市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5</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北海市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6</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防城港市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7</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钦州市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8</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贵港市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9</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玉林市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10</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百色市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贺州市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河池市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来宾市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ascii="仿宋" w:hAnsi="仿宋" w:eastAsia="仿宋"/>
                <w:color w:val="000000"/>
              </w:rPr>
              <w:t>14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r>
              <w:rPr>
                <w:rFonts w:hint="eastAsia" w:ascii="仿宋" w:hAnsi="仿宋" w:eastAsia="仿宋"/>
                <w:color w:val="000000"/>
              </w:rPr>
              <w:t>崇左</w:t>
            </w:r>
            <w:bookmarkStart w:id="1" w:name="_GoBack"/>
            <w:bookmarkEnd w:id="1"/>
            <w:r>
              <w:rPr>
                <w:rFonts w:hint="eastAsia" w:ascii="仿宋" w:hAnsi="仿宋" w:eastAsia="仿宋"/>
                <w:color w:val="000000"/>
              </w:rPr>
              <w:t>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1057" w:type="dxa"/>
            <w:noWrap w:val="0"/>
            <w:tcMar>
              <w:top w:w="30" w:type="dxa"/>
              <w:left w:w="75" w:type="dxa"/>
              <w:bottom w:w="30" w:type="dxa"/>
              <w:right w:w="75" w:type="dxa"/>
            </w:tcMar>
            <w:vAlign w:val="center"/>
          </w:tcPr>
          <w:p>
            <w:pPr>
              <w:jc w:val="center"/>
              <w:rPr>
                <w:rFonts w:ascii="仿宋" w:hAnsi="仿宋" w:eastAsia="仿宋"/>
                <w:color w:val="000000"/>
                <w:sz w:val="18"/>
                <w:szCs w:val="18"/>
              </w:rPr>
            </w:pPr>
            <w:r>
              <w:rPr>
                <w:rFonts w:hint="eastAsia" w:ascii="仿宋" w:hAnsi="仿宋" w:eastAsia="仿宋"/>
                <w:color w:val="000000"/>
                <w:sz w:val="18"/>
                <w:szCs w:val="18"/>
              </w:rPr>
              <w:t>备注</w:t>
            </w:r>
          </w:p>
        </w:tc>
        <w:tc>
          <w:tcPr>
            <w:tcW w:w="8207" w:type="dxa"/>
            <w:gridSpan w:val="9"/>
            <w:noWrap w:val="0"/>
            <w:tcMar>
              <w:top w:w="30" w:type="dxa"/>
              <w:left w:w="75" w:type="dxa"/>
              <w:bottom w:w="30" w:type="dxa"/>
              <w:right w:w="75" w:type="dxa"/>
            </w:tcMar>
            <w:vAlign w:val="center"/>
          </w:tcPr>
          <w:p>
            <w:pPr>
              <w:jc w:val="center"/>
              <w:rPr>
                <w:rFonts w:ascii="仿宋" w:hAnsi="仿宋" w:eastAsia="仿宋"/>
                <w:color w:val="000000"/>
                <w:sz w:val="18"/>
                <w:szCs w:val="18"/>
              </w:rPr>
            </w:pPr>
          </w:p>
        </w:tc>
      </w:tr>
    </w:tbl>
    <w:p>
      <w:pPr>
        <w:rPr>
          <w:rFonts w:ascii="仿宋_GB2312" w:eastAsia="仿宋_GB2312" w:cs="仿宋_GB2312"/>
          <w:color w:val="000000"/>
          <w:sz w:val="18"/>
          <w:szCs w:val="18"/>
        </w:rPr>
      </w:pPr>
      <w:r>
        <w:rPr>
          <w:rFonts w:hint="eastAsia" w:ascii="仿宋_GB2312" w:eastAsia="仿宋_GB2312"/>
          <w:color w:val="000000"/>
          <w:sz w:val="18"/>
          <w:szCs w:val="18"/>
        </w:rPr>
        <w:t>说明：</w:t>
      </w:r>
      <w:r>
        <w:rPr>
          <w:rFonts w:ascii="仿宋_GB2312" w:eastAsia="仿宋_GB2312"/>
          <w:color w:val="000000"/>
          <w:sz w:val="18"/>
          <w:szCs w:val="18"/>
        </w:rPr>
        <w:t>（1）</w:t>
      </w:r>
      <w:r>
        <w:rPr>
          <w:rFonts w:hint="eastAsia" w:ascii="仿宋_GB2312" w:eastAsia="仿宋_GB2312"/>
          <w:color w:val="000000"/>
          <w:sz w:val="18"/>
          <w:szCs w:val="18"/>
        </w:rPr>
        <w:t>此表由自治区渔业病害防治环境监测和质量检验中心按次</w:t>
      </w:r>
      <w:r>
        <w:rPr>
          <w:rFonts w:hint="eastAsia" w:ascii="仿宋_GB2312" w:eastAsia="仿宋_GB2312" w:cs="仿宋_GB2312"/>
          <w:color w:val="000000"/>
          <w:sz w:val="18"/>
          <w:szCs w:val="18"/>
        </w:rPr>
        <w:t>填写。</w:t>
      </w:r>
    </w:p>
    <w:p>
      <w:pPr>
        <w:ind w:firstLine="540" w:firstLineChars="300"/>
        <w:rPr>
          <w:rFonts w:eastAsia="方正小标宋简体"/>
          <w:color w:val="000000"/>
          <w:sz w:val="44"/>
          <w:szCs w:val="44"/>
        </w:rPr>
      </w:pPr>
      <w:r>
        <w:rPr>
          <w:rFonts w:ascii="仿宋_GB2312" w:eastAsia="仿宋_GB2312"/>
          <w:color w:val="000000"/>
          <w:sz w:val="18"/>
          <w:szCs w:val="18"/>
        </w:rPr>
        <w:t>（2）</w:t>
      </w:r>
      <w:r>
        <w:rPr>
          <w:rFonts w:hint="eastAsia" w:ascii="仿宋_GB2312" w:eastAsia="仿宋_GB2312"/>
          <w:color w:val="000000"/>
          <w:sz w:val="18"/>
          <w:szCs w:val="18"/>
        </w:rPr>
        <w:t>在备注栏分别注明不合格样品的名称、单位、不合格项目等情况</w:t>
      </w:r>
    </w:p>
    <w:p>
      <w:pPr>
        <w:adjustRightInd w:val="0"/>
        <w:snapToGrid w:val="0"/>
        <w:spacing w:line="360" w:lineRule="auto"/>
        <w:rPr>
          <w:rFonts w:eastAsia="黑体"/>
          <w:color w:val="000000"/>
          <w:sz w:val="32"/>
          <w:szCs w:val="32"/>
        </w:rPr>
      </w:pPr>
    </w:p>
    <w:p>
      <w:pPr>
        <w:adjustRightInd w:val="0"/>
        <w:snapToGrid w:val="0"/>
        <w:spacing w:line="360" w:lineRule="auto"/>
        <w:rPr>
          <w:rFonts w:hint="eastAsia" w:eastAsia="黑体"/>
          <w:color w:val="000000"/>
          <w:sz w:val="32"/>
          <w:szCs w:val="32"/>
        </w:rPr>
      </w:pPr>
    </w:p>
    <w:p>
      <w:pPr>
        <w:adjustRightInd w:val="0"/>
        <w:snapToGrid w:val="0"/>
        <w:spacing w:line="360" w:lineRule="auto"/>
        <w:rPr>
          <w:rFonts w:eastAsia="黑体"/>
          <w:color w:val="000000"/>
          <w:sz w:val="32"/>
          <w:szCs w:val="32"/>
        </w:rPr>
      </w:pPr>
      <w:r>
        <w:rPr>
          <w:rFonts w:eastAsia="黑体"/>
          <w:color w:val="000000"/>
          <w:sz w:val="32"/>
          <w:szCs w:val="32"/>
        </w:rPr>
        <w:t>附件7</w:t>
      </w:r>
    </w:p>
    <w:p>
      <w:pPr>
        <w:rPr>
          <w:rFonts w:eastAsia="黑体"/>
          <w:color w:val="000000"/>
          <w:sz w:val="32"/>
          <w:szCs w:val="32"/>
        </w:rPr>
      </w:pPr>
    </w:p>
    <w:p>
      <w:pPr>
        <w:ind w:firstLine="220" w:firstLineChars="5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2023年广西水产品质量安全监督抽查</w:t>
      </w:r>
    </w:p>
    <w:p>
      <w:pPr>
        <w:ind w:firstLine="220" w:firstLineChars="5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工作联系表</w:t>
      </w:r>
    </w:p>
    <w:p>
      <w:pPr>
        <w:ind w:firstLine="160" w:firstLineChars="50"/>
        <w:rPr>
          <w:rFonts w:eastAsia="仿宋_GB2312"/>
          <w:color w:val="000000"/>
          <w:sz w:val="32"/>
          <w:szCs w:val="32"/>
        </w:rPr>
      </w:pP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080"/>
        <w:gridCol w:w="1440"/>
        <w:gridCol w:w="161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40" w:type="dxa"/>
            <w:noWrap w:val="0"/>
            <w:vAlign w:val="center"/>
          </w:tcPr>
          <w:p>
            <w:pPr>
              <w:jc w:val="center"/>
              <w:rPr>
                <w:color w:val="000000"/>
                <w:sz w:val="32"/>
                <w:szCs w:val="32"/>
              </w:rPr>
            </w:pPr>
            <w:r>
              <w:rPr>
                <w:color w:val="000000"/>
                <w:sz w:val="32"/>
                <w:szCs w:val="32"/>
              </w:rPr>
              <w:t>单位</w:t>
            </w:r>
          </w:p>
        </w:tc>
        <w:tc>
          <w:tcPr>
            <w:tcW w:w="1080" w:type="dxa"/>
            <w:noWrap w:val="0"/>
            <w:vAlign w:val="center"/>
          </w:tcPr>
          <w:p>
            <w:pPr>
              <w:jc w:val="center"/>
              <w:rPr>
                <w:color w:val="000000"/>
                <w:sz w:val="32"/>
                <w:szCs w:val="32"/>
              </w:rPr>
            </w:pPr>
            <w:r>
              <w:rPr>
                <w:color w:val="000000"/>
                <w:sz w:val="32"/>
                <w:szCs w:val="32"/>
              </w:rPr>
              <w:t>姓名</w:t>
            </w:r>
          </w:p>
        </w:tc>
        <w:tc>
          <w:tcPr>
            <w:tcW w:w="1440" w:type="dxa"/>
            <w:noWrap w:val="0"/>
            <w:vAlign w:val="center"/>
          </w:tcPr>
          <w:p>
            <w:pPr>
              <w:jc w:val="center"/>
              <w:rPr>
                <w:color w:val="000000"/>
                <w:sz w:val="32"/>
                <w:szCs w:val="32"/>
              </w:rPr>
            </w:pPr>
            <w:r>
              <w:rPr>
                <w:color w:val="000000"/>
                <w:sz w:val="32"/>
                <w:szCs w:val="32"/>
              </w:rPr>
              <w:t>职务</w:t>
            </w:r>
          </w:p>
        </w:tc>
        <w:tc>
          <w:tcPr>
            <w:tcW w:w="1615" w:type="dxa"/>
            <w:noWrap w:val="0"/>
            <w:vAlign w:val="center"/>
          </w:tcPr>
          <w:p>
            <w:pPr>
              <w:jc w:val="center"/>
              <w:rPr>
                <w:color w:val="000000"/>
                <w:sz w:val="32"/>
                <w:szCs w:val="32"/>
              </w:rPr>
            </w:pPr>
            <w:r>
              <w:rPr>
                <w:color w:val="000000"/>
                <w:sz w:val="32"/>
                <w:szCs w:val="32"/>
              </w:rPr>
              <w:t>联系电话</w:t>
            </w:r>
          </w:p>
        </w:tc>
        <w:tc>
          <w:tcPr>
            <w:tcW w:w="1985" w:type="dxa"/>
            <w:noWrap w:val="0"/>
            <w:vAlign w:val="center"/>
          </w:tcPr>
          <w:p>
            <w:pPr>
              <w:jc w:val="center"/>
              <w:rPr>
                <w:color w:val="000000"/>
                <w:sz w:val="32"/>
                <w:szCs w:val="32"/>
              </w:rPr>
            </w:pPr>
            <w:r>
              <w:rPr>
                <w:color w:val="000000"/>
                <w:sz w:val="32"/>
                <w:szCs w:val="32"/>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40" w:type="dxa"/>
            <w:noWrap w:val="0"/>
            <w:vAlign w:val="center"/>
          </w:tcPr>
          <w:p>
            <w:pPr>
              <w:rPr>
                <w:color w:val="000000"/>
                <w:sz w:val="24"/>
              </w:rPr>
            </w:pPr>
          </w:p>
        </w:tc>
        <w:tc>
          <w:tcPr>
            <w:tcW w:w="1080" w:type="dxa"/>
            <w:noWrap w:val="0"/>
            <w:vAlign w:val="center"/>
          </w:tcPr>
          <w:p>
            <w:pPr>
              <w:rPr>
                <w:color w:val="000000"/>
                <w:sz w:val="24"/>
              </w:rPr>
            </w:pPr>
          </w:p>
        </w:tc>
        <w:tc>
          <w:tcPr>
            <w:tcW w:w="1440" w:type="dxa"/>
            <w:noWrap w:val="0"/>
            <w:vAlign w:val="center"/>
          </w:tcPr>
          <w:p>
            <w:pPr>
              <w:rPr>
                <w:color w:val="000000"/>
                <w:sz w:val="24"/>
              </w:rPr>
            </w:pPr>
          </w:p>
        </w:tc>
        <w:tc>
          <w:tcPr>
            <w:tcW w:w="1615" w:type="dxa"/>
            <w:noWrap w:val="0"/>
            <w:vAlign w:val="center"/>
          </w:tcPr>
          <w:p>
            <w:pPr>
              <w:rPr>
                <w:color w:val="000000"/>
                <w:sz w:val="24"/>
              </w:rPr>
            </w:pPr>
          </w:p>
        </w:tc>
        <w:tc>
          <w:tcPr>
            <w:tcW w:w="1985" w:type="dxa"/>
            <w:noWrap w:val="0"/>
            <w:vAlign w:val="center"/>
          </w:tcPr>
          <w:p>
            <w:pPr>
              <w:jc w:val="center"/>
              <w:rPr>
                <w:color w:val="000000"/>
                <w:sz w:val="24"/>
              </w:rPr>
            </w:pPr>
            <w:r>
              <w:rPr>
                <w:color w:val="000000"/>
                <w:sz w:val="24"/>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40" w:type="dxa"/>
            <w:noWrap w:val="0"/>
            <w:vAlign w:val="center"/>
          </w:tcPr>
          <w:p>
            <w:pPr>
              <w:rPr>
                <w:color w:val="000000"/>
                <w:sz w:val="24"/>
              </w:rPr>
            </w:pPr>
          </w:p>
        </w:tc>
        <w:tc>
          <w:tcPr>
            <w:tcW w:w="1080" w:type="dxa"/>
            <w:noWrap w:val="0"/>
            <w:vAlign w:val="center"/>
          </w:tcPr>
          <w:p>
            <w:pPr>
              <w:rPr>
                <w:color w:val="000000"/>
                <w:sz w:val="24"/>
              </w:rPr>
            </w:pPr>
          </w:p>
        </w:tc>
        <w:tc>
          <w:tcPr>
            <w:tcW w:w="1440" w:type="dxa"/>
            <w:noWrap w:val="0"/>
            <w:vAlign w:val="center"/>
          </w:tcPr>
          <w:p>
            <w:pPr>
              <w:rPr>
                <w:color w:val="000000"/>
                <w:sz w:val="24"/>
              </w:rPr>
            </w:pPr>
          </w:p>
        </w:tc>
        <w:tc>
          <w:tcPr>
            <w:tcW w:w="1615" w:type="dxa"/>
            <w:noWrap w:val="0"/>
            <w:vAlign w:val="center"/>
          </w:tcPr>
          <w:p>
            <w:pPr>
              <w:rPr>
                <w:color w:val="000000"/>
                <w:sz w:val="24"/>
              </w:rPr>
            </w:pPr>
          </w:p>
        </w:tc>
        <w:tc>
          <w:tcPr>
            <w:tcW w:w="1985" w:type="dxa"/>
            <w:noWrap w:val="0"/>
            <w:vAlign w:val="center"/>
          </w:tcPr>
          <w:p>
            <w:pPr>
              <w:jc w:val="center"/>
              <w:rPr>
                <w:color w:val="000000"/>
                <w:sz w:val="24"/>
              </w:rPr>
            </w:pPr>
            <w:r>
              <w:rPr>
                <w:color w:val="000000"/>
                <w:sz w:val="24"/>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40" w:type="dxa"/>
            <w:noWrap w:val="0"/>
            <w:vAlign w:val="center"/>
          </w:tcPr>
          <w:p>
            <w:pPr>
              <w:rPr>
                <w:color w:val="000000"/>
                <w:sz w:val="24"/>
              </w:rPr>
            </w:pPr>
          </w:p>
        </w:tc>
        <w:tc>
          <w:tcPr>
            <w:tcW w:w="1080" w:type="dxa"/>
            <w:noWrap w:val="0"/>
            <w:vAlign w:val="center"/>
          </w:tcPr>
          <w:p>
            <w:pPr>
              <w:rPr>
                <w:color w:val="000000"/>
                <w:sz w:val="24"/>
              </w:rPr>
            </w:pPr>
          </w:p>
        </w:tc>
        <w:tc>
          <w:tcPr>
            <w:tcW w:w="1440" w:type="dxa"/>
            <w:noWrap w:val="0"/>
            <w:vAlign w:val="center"/>
          </w:tcPr>
          <w:p>
            <w:pPr>
              <w:rPr>
                <w:color w:val="000000"/>
                <w:sz w:val="24"/>
              </w:rPr>
            </w:pPr>
          </w:p>
        </w:tc>
        <w:tc>
          <w:tcPr>
            <w:tcW w:w="1615" w:type="dxa"/>
            <w:noWrap w:val="0"/>
            <w:vAlign w:val="center"/>
          </w:tcPr>
          <w:p>
            <w:pPr>
              <w:rPr>
                <w:color w:val="000000"/>
                <w:sz w:val="24"/>
              </w:rPr>
            </w:pPr>
          </w:p>
        </w:tc>
        <w:tc>
          <w:tcPr>
            <w:tcW w:w="1985" w:type="dxa"/>
            <w:noWrap w:val="0"/>
            <w:vAlign w:val="center"/>
          </w:tcPr>
          <w:p>
            <w:pPr>
              <w:jc w:val="center"/>
              <w:rPr>
                <w:color w:val="000000"/>
                <w:sz w:val="24"/>
              </w:rPr>
            </w:pPr>
            <w:r>
              <w:rPr>
                <w:color w:val="000000"/>
                <w:sz w:val="24"/>
              </w:rPr>
              <w:t>水产品抽样</w:t>
            </w:r>
          </w:p>
        </w:tc>
      </w:tr>
    </w:tbl>
    <w:p>
      <w:pPr>
        <w:rPr>
          <w:rFonts w:eastAsia="仿宋_GB2312"/>
          <w:color w:val="000000"/>
          <w:sz w:val="30"/>
          <w:szCs w:val="30"/>
        </w:rPr>
      </w:pPr>
      <w:r>
        <w:rPr>
          <w:rFonts w:eastAsia="仿宋_GB2312"/>
          <w:color w:val="000000"/>
          <w:sz w:val="30"/>
          <w:szCs w:val="30"/>
        </w:rPr>
        <w:t>填报时间：          填报人：              电话：</w:t>
      </w: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0"/>
          <w:szCs w:val="30"/>
        </w:rPr>
      </w:pPr>
    </w:p>
    <w:p>
      <w:pPr>
        <w:rPr>
          <w:rFonts w:eastAsia="仿宋_GB2312"/>
          <w:color w:val="000000"/>
          <w:sz w:val="32"/>
          <w:szCs w:val="32"/>
        </w:rPr>
        <w:sectPr>
          <w:footerReference r:id="rId5" w:type="default"/>
          <w:footerReference r:id="rId6" w:type="even"/>
          <w:pgSz w:w="11906" w:h="16838"/>
          <w:pgMar w:top="1418" w:right="1418" w:bottom="567" w:left="1418" w:header="851" w:footer="624" w:gutter="0"/>
          <w:cols w:space="720" w:num="1"/>
          <w:docGrid w:linePitch="312" w:charSpace="0"/>
        </w:sectPr>
      </w:pPr>
    </w:p>
    <w:p>
      <w:pPr>
        <w:pStyle w:val="3"/>
        <w:spacing w:line="560" w:lineRule="atLeast"/>
        <w:rPr>
          <w:rFonts w:ascii="Times New Roman" w:hAnsi="Times New Roman" w:eastAsia="黑体" w:cs="Times New Roman"/>
          <w:sz w:val="32"/>
          <w:szCs w:val="32"/>
        </w:rPr>
      </w:pPr>
      <w:r>
        <w:rPr>
          <w:rFonts w:ascii="Times New Roman" w:hAnsi="Times New Roman" w:eastAsia="黑体" w:cs="Times New Roman"/>
          <w:sz w:val="32"/>
          <w:szCs w:val="32"/>
        </w:rPr>
        <w:t>附件8</w:t>
      </w:r>
    </w:p>
    <w:p>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2023年第</w:t>
      </w: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44"/>
          <w:szCs w:val="44"/>
        </w:rPr>
        <w:t>季度</w:t>
      </w: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44"/>
          <w:szCs w:val="44"/>
        </w:rPr>
        <w:t>市监督抽查结果及不合格样品查处情况</w:t>
      </w:r>
    </w:p>
    <w:p>
      <w:pPr>
        <w:jc w:val="center"/>
        <w:rPr>
          <w:rFonts w:eastAsia="方正小标宋简体"/>
          <w:color w:val="000000"/>
          <w:sz w:val="44"/>
          <w:szCs w:val="44"/>
        </w:rPr>
      </w:pPr>
    </w:p>
    <w:tbl>
      <w:tblPr>
        <w:tblStyle w:val="4"/>
        <w:tblW w:w="4801" w:type="pct"/>
        <w:tblInd w:w="250" w:type="dxa"/>
        <w:tblLayout w:type="autofit"/>
        <w:tblCellMar>
          <w:top w:w="0" w:type="dxa"/>
          <w:left w:w="108" w:type="dxa"/>
          <w:bottom w:w="0" w:type="dxa"/>
          <w:right w:w="108" w:type="dxa"/>
        </w:tblCellMar>
      </w:tblPr>
      <w:tblGrid>
        <w:gridCol w:w="696"/>
        <w:gridCol w:w="1252"/>
        <w:gridCol w:w="2556"/>
        <w:gridCol w:w="1550"/>
        <w:gridCol w:w="992"/>
        <w:gridCol w:w="1198"/>
        <w:gridCol w:w="1674"/>
        <w:gridCol w:w="1821"/>
        <w:gridCol w:w="1892"/>
        <w:gridCol w:w="1110"/>
      </w:tblGrid>
      <w:tr>
        <w:tblPrEx>
          <w:tblCellMar>
            <w:top w:w="0" w:type="dxa"/>
            <w:left w:w="108" w:type="dxa"/>
            <w:bottom w:w="0" w:type="dxa"/>
            <w:right w:w="108" w:type="dxa"/>
          </w:tblCellMar>
        </w:tblPrEx>
        <w:trPr>
          <w:trHeight w:val="5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抽样品种</w:t>
            </w:r>
          </w:p>
        </w:tc>
        <w:tc>
          <w:tcPr>
            <w:tcW w:w="8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被抽样生产主体名称</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地址</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联系人</w:t>
            </w:r>
          </w:p>
        </w:tc>
        <w:tc>
          <w:tcPr>
            <w:tcW w:w="4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联系电话</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不合格项目‖检测结果‖标准值</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不合格产品是否立案查处</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查处情况</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查处人</w:t>
            </w: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86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2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p>
        </w:tc>
        <w:tc>
          <w:tcPr>
            <w:tcW w:w="64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bl>
    <w:p>
      <w:pPr>
        <w:jc w:val="center"/>
        <w:rPr>
          <w:rFonts w:hint="eastAsia" w:eastAsia="仿宋_GB2312"/>
          <w:color w:val="000000"/>
          <w:sz w:val="32"/>
          <w:szCs w:val="32"/>
        </w:rPr>
      </w:pPr>
    </w:p>
    <w:p/>
    <w:sectPr>
      <w:pgSz w:w="16838" w:h="11906" w:orient="landscape"/>
      <w:pgMar w:top="1418" w:right="851" w:bottom="1418" w:left="851" w:header="851"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MTkyYTlhYWMwMzg3NWYyYWQwZjNhODkzY2Q2NGUifQ=="/>
  </w:docVars>
  <w:rsids>
    <w:rsidRoot w:val="00C859EE"/>
    <w:rsid w:val="001A22AB"/>
    <w:rsid w:val="001A4E8C"/>
    <w:rsid w:val="00AA2125"/>
    <w:rsid w:val="00C859EE"/>
    <w:rsid w:val="605F6D9B"/>
    <w:rsid w:val="BFCF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6">
    <w:name w:val="Hyperlink"/>
    <w:unhideWhenUsed/>
    <w:qFormat/>
    <w:uiPriority w:val="99"/>
    <w:rPr>
      <w:color w:val="0000FF"/>
      <w:u w:val="single"/>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5"/>
    <w:link w:val="7"/>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xxk</cp:lastModifiedBy>
  <dcterms:modified xsi:type="dcterms:W3CDTF">2023-10-16T09:19:49Z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D0B58DD178994AC69B4CD1AC27E5E1B7_13</vt:lpwstr>
  </property>
</Properties>
</file>