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lang w:eastAsia="zh-CN"/>
        </w:rPr>
      </w:pPr>
      <w:bookmarkStart w:id="108" w:name="_GoBack"/>
      <w:r>
        <w:rPr>
          <w:rFonts w:hint="eastAsia"/>
          <w:lang w:eastAsia="zh-CN"/>
        </w:rPr>
        <w:drawing>
          <wp:anchor distT="0" distB="0" distL="114300" distR="114300" simplePos="0" relativeHeight="251673600" behindDoc="0" locked="0" layoutInCell="1" allowOverlap="1">
            <wp:simplePos x="0" y="0"/>
            <wp:positionH relativeFrom="column">
              <wp:posOffset>-762000</wp:posOffset>
            </wp:positionH>
            <wp:positionV relativeFrom="paragraph">
              <wp:posOffset>-680720</wp:posOffset>
            </wp:positionV>
            <wp:extent cx="7548880" cy="10680700"/>
            <wp:effectExtent l="0" t="0" r="13970" b="6350"/>
            <wp:wrapNone/>
            <wp:docPr id="2" name="图片 2" descr="2a1f7ef2d3ef3d9d1cf211325f6b5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a1f7ef2d3ef3d9d1cf211325f6b5a5"/>
                    <pic:cNvPicPr>
                      <a:picLocks noChangeAspect="1"/>
                    </pic:cNvPicPr>
                  </pic:nvPicPr>
                  <pic:blipFill>
                    <a:blip r:embed="rId17"/>
                    <a:stretch>
                      <a:fillRect/>
                    </a:stretch>
                  </pic:blipFill>
                  <pic:spPr>
                    <a:xfrm>
                      <a:off x="0" y="0"/>
                      <a:ext cx="7548880" cy="10680700"/>
                    </a:xfrm>
                    <a:prstGeom prst="rect">
                      <a:avLst/>
                    </a:prstGeom>
                  </pic:spPr>
                </pic:pic>
              </a:graphicData>
            </a:graphic>
          </wp:anchor>
        </w:drawing>
      </w:r>
      <w:bookmarkEnd w:id="108"/>
    </w:p>
    <w:p>
      <w:pPr>
        <w:ind w:firstLine="198" w:firstLineChars="41"/>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广西德元工程项目管理有限责任公司</w:t>
      </w:r>
    </w:p>
    <w:p>
      <w:pPr>
        <w:pStyle w:val="19"/>
        <w:ind w:left="5250" w:firstLine="400"/>
        <w:rPr>
          <w:rFonts w:ascii="宋体" w:hAnsi="宋体" w:cs="宋体"/>
          <w:color w:val="auto"/>
          <w:szCs w:val="21"/>
          <w:highlight w:val="none"/>
        </w:rPr>
      </w:pPr>
      <w:r>
        <w:rPr>
          <w:rFonts w:hint="eastAsia" w:ascii="宋体" w:hAnsi="宋体" w:cs="宋体"/>
          <w:color w:val="auto"/>
          <w:sz w:val="20"/>
          <w:highlight w:val="none"/>
          <w:u w:val="single"/>
        </w:rPr>
        <mc:AlternateContent>
          <mc:Choice Requires="wps">
            <w:drawing>
              <wp:anchor distT="0" distB="0" distL="114300" distR="114300" simplePos="0" relativeHeight="251670528" behindDoc="0" locked="0" layoutInCell="1" allowOverlap="1">
                <wp:simplePos x="0" y="0"/>
                <wp:positionH relativeFrom="column">
                  <wp:posOffset>-132715</wp:posOffset>
                </wp:positionH>
                <wp:positionV relativeFrom="paragraph">
                  <wp:posOffset>69215</wp:posOffset>
                </wp:positionV>
                <wp:extent cx="5944235" cy="8255"/>
                <wp:effectExtent l="19050" t="19050" r="18415" b="29845"/>
                <wp:wrapNone/>
                <wp:docPr id="14" name="直接连接符 1"/>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直接连接符 1" o:spid="_x0000_s1026" o:spt="20" style="position:absolute;left:0pt;flip:y;margin-left:-10.45pt;margin-top:5.45pt;height:0.65pt;width:468.05pt;z-index:251670528;mso-width-relative:page;mso-height-relative:page;" filled="f" stroked="t" coordsize="21600,21600" o:gfxdata="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eftHNcAAAAJAQAADwAAAAAAAAABACAAAAAiAAAAZHJzL2Rvd25yZXYueG1sUEsB&#10;AhQAFAAAAAgAh07iQDsIC5/2AQAA5wMAAA4AAAAAAAAAAQAgAAAAJgEAAGRycy9lMm9Eb2MueG1s&#10;UEsFBgAAAAAGAAYAWQEAAI4FAAAAAA==&#10;">
                <v:fill on="f" focussize="0,0"/>
                <v:stroke weight="2.25pt" color="#000000" joinstyle="round"/>
                <v:imagedata o:title=""/>
                <o:lock v:ext="edit" aspectratio="f"/>
              </v:line>
            </w:pict>
          </mc:Fallback>
        </mc:AlternateContent>
      </w:r>
      <w:r>
        <w:rPr>
          <w:rFonts w:hint="eastAsia" w:ascii="宋体" w:hAnsi="宋体" w:cs="宋体"/>
          <w:b/>
          <w:bCs/>
          <w:color w:val="auto"/>
          <w:sz w:val="10"/>
          <w:highlight w:val="none"/>
        </w:rPr>
        <w:t xml:space="preserve">                                                                                                </w:t>
      </w:r>
    </w:p>
    <w:p>
      <w:pPr>
        <w:snapToGrid w:val="0"/>
        <w:jc w:val="center"/>
        <w:rPr>
          <w:rFonts w:ascii="宋体" w:hAnsi="宋体" w:cs="宋体"/>
          <w:b/>
          <w:color w:val="auto"/>
          <w:sz w:val="52"/>
          <w:szCs w:val="52"/>
          <w:highlight w:val="none"/>
        </w:rPr>
      </w:pPr>
    </w:p>
    <w:p>
      <w:pPr>
        <w:snapToGrid w:val="0"/>
        <w:jc w:val="center"/>
        <w:rPr>
          <w:rFonts w:ascii="宋体" w:hAnsi="宋体" w:cs="宋体"/>
          <w:b/>
          <w:color w:val="auto"/>
          <w:sz w:val="44"/>
          <w:szCs w:val="44"/>
          <w:highlight w:val="none"/>
        </w:rPr>
      </w:pPr>
      <w:r>
        <w:rPr>
          <w:rFonts w:hint="eastAsia" w:ascii="宋体" w:hAnsi="宋体" w:cs="宋体"/>
          <w:b/>
          <w:color w:val="auto"/>
          <w:sz w:val="72"/>
          <w:szCs w:val="72"/>
          <w:highlight w:val="none"/>
        </w:rPr>
        <w:t>竞争性磋商采购文件</w:t>
      </w:r>
    </w:p>
    <w:p>
      <w:pPr>
        <w:jc w:val="center"/>
        <w:rPr>
          <w:rFonts w:ascii="宋体" w:hAnsi="宋体" w:cs="宋体"/>
          <w:b/>
          <w:color w:val="auto"/>
          <w:sz w:val="32"/>
          <w:szCs w:val="32"/>
          <w:highlight w:val="none"/>
        </w:rPr>
      </w:pPr>
      <w:r>
        <w:rPr>
          <w:rFonts w:hint="eastAsia" w:ascii="宋体" w:hAnsi="宋体" w:cs="宋体"/>
          <w:b/>
          <w:color w:val="auto"/>
          <w:sz w:val="32"/>
          <w:szCs w:val="32"/>
          <w:highlight w:val="none"/>
        </w:rPr>
        <w:t>（服务类）</w:t>
      </w:r>
    </w:p>
    <w:p>
      <w:pPr>
        <w:jc w:val="center"/>
        <w:rPr>
          <w:rFonts w:ascii="宋体" w:hAnsi="宋体" w:cs="宋体"/>
          <w:b/>
          <w:color w:val="auto"/>
          <w:sz w:val="32"/>
          <w:szCs w:val="32"/>
          <w:highlight w:val="none"/>
        </w:rPr>
      </w:pPr>
      <w:r>
        <w:rPr>
          <w:rFonts w:hint="eastAsia" w:ascii="宋体" w:hAnsi="宋体" w:cs="宋体"/>
          <w:color w:val="auto"/>
          <w:highlight w:val="none"/>
        </w:rPr>
        <w:drawing>
          <wp:anchor distT="0" distB="0" distL="114300" distR="114300" simplePos="0" relativeHeight="251672576" behindDoc="0" locked="0" layoutInCell="1" allowOverlap="1">
            <wp:simplePos x="0" y="0"/>
            <wp:positionH relativeFrom="column">
              <wp:posOffset>1981835</wp:posOffset>
            </wp:positionH>
            <wp:positionV relativeFrom="paragraph">
              <wp:posOffset>110490</wp:posOffset>
            </wp:positionV>
            <wp:extent cx="1991995" cy="2016760"/>
            <wp:effectExtent l="0" t="0" r="8255" b="2540"/>
            <wp:wrapSquare wrapText="bothSides"/>
            <wp:docPr id="1" name="图片 39"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公司logo"/>
                    <pic:cNvPicPr>
                      <a:picLocks noChangeAspect="1"/>
                    </pic:cNvPicPr>
                  </pic:nvPicPr>
                  <pic:blipFill>
                    <a:blip r:embed="rId18" cstate="print"/>
                    <a:stretch>
                      <a:fillRect/>
                    </a:stretch>
                  </pic:blipFill>
                  <pic:spPr>
                    <a:xfrm>
                      <a:off x="0" y="0"/>
                      <a:ext cx="1991995" cy="2016760"/>
                    </a:xfrm>
                    <a:prstGeom prst="rect">
                      <a:avLst/>
                    </a:prstGeom>
                    <a:noFill/>
                    <a:ln>
                      <a:noFill/>
                    </a:ln>
                  </pic:spPr>
                </pic:pic>
              </a:graphicData>
            </a:graphic>
          </wp:anchor>
        </w:drawing>
      </w:r>
    </w:p>
    <w:p>
      <w:pPr>
        <w:jc w:val="center"/>
        <w:rPr>
          <w:rFonts w:ascii="宋体" w:hAnsi="宋体" w:cs="宋体"/>
          <w:b/>
          <w:color w:val="auto"/>
          <w:sz w:val="32"/>
          <w:szCs w:val="32"/>
          <w:highlight w:val="none"/>
        </w:rPr>
      </w:pPr>
    </w:p>
    <w:p>
      <w:pPr>
        <w:jc w:val="center"/>
        <w:rPr>
          <w:rFonts w:ascii="宋体" w:hAnsi="宋体" w:cs="宋体"/>
          <w:b/>
          <w:color w:val="auto"/>
          <w:sz w:val="32"/>
          <w:szCs w:val="32"/>
          <w:highlight w:val="none"/>
        </w:rPr>
      </w:pPr>
    </w:p>
    <w:p>
      <w:pPr>
        <w:spacing w:line="360" w:lineRule="auto"/>
        <w:ind w:left="2243" w:leftChars="456" w:hanging="1285" w:hangingChars="400"/>
        <w:rPr>
          <w:rFonts w:ascii="宋体" w:hAnsi="宋体" w:cs="宋体"/>
          <w:b/>
          <w:color w:val="auto"/>
          <w:sz w:val="32"/>
          <w:szCs w:val="32"/>
          <w:highlight w:val="none"/>
        </w:rPr>
      </w:pPr>
    </w:p>
    <w:p>
      <w:pPr>
        <w:spacing w:line="360" w:lineRule="auto"/>
        <w:ind w:left="2243" w:leftChars="456" w:hanging="1285" w:hangingChars="400"/>
        <w:rPr>
          <w:rFonts w:ascii="宋体" w:hAnsi="宋体" w:cs="宋体"/>
          <w:b/>
          <w:color w:val="auto"/>
          <w:sz w:val="32"/>
          <w:szCs w:val="32"/>
          <w:highlight w:val="none"/>
        </w:rPr>
      </w:pPr>
    </w:p>
    <w:p>
      <w:pPr>
        <w:spacing w:line="360" w:lineRule="auto"/>
        <w:ind w:left="2243" w:leftChars="456" w:hanging="1285" w:hangingChars="400"/>
        <w:rPr>
          <w:rFonts w:ascii="宋体" w:hAnsi="宋体" w:cs="宋体"/>
          <w:b/>
          <w:color w:val="auto"/>
          <w:sz w:val="32"/>
          <w:szCs w:val="32"/>
          <w:highlight w:val="none"/>
        </w:rPr>
      </w:pPr>
    </w:p>
    <w:p>
      <w:pPr>
        <w:spacing w:line="360" w:lineRule="auto"/>
        <w:ind w:left="2243" w:leftChars="456" w:hanging="1285" w:hangingChars="400"/>
        <w:rPr>
          <w:rFonts w:ascii="宋体" w:hAnsi="宋体" w:cs="宋体"/>
          <w:b/>
          <w:color w:val="auto"/>
          <w:sz w:val="32"/>
          <w:szCs w:val="32"/>
          <w:highlight w:val="none"/>
        </w:rPr>
      </w:pPr>
    </w:p>
    <w:p>
      <w:pPr>
        <w:spacing w:line="360" w:lineRule="auto"/>
        <w:ind w:left="2243" w:leftChars="456" w:hanging="1285" w:hangingChars="400"/>
        <w:rPr>
          <w:rFonts w:ascii="宋体" w:hAnsi="宋体" w:cs="宋体"/>
          <w:b/>
          <w:color w:val="auto"/>
          <w:sz w:val="32"/>
          <w:szCs w:val="32"/>
          <w:highlight w:val="none"/>
        </w:rPr>
      </w:pPr>
      <w:r>
        <w:rPr>
          <w:rFonts w:hint="eastAsia" w:ascii="宋体" w:hAnsi="宋体" w:cs="宋体"/>
          <w:b/>
          <w:color w:val="auto"/>
          <w:sz w:val="32"/>
          <w:szCs w:val="32"/>
          <w:highlight w:val="none"/>
        </w:rPr>
        <w:t>项目名称：农情系统、自然灾害预警监控系统、农药数字监管平台、粮食功能区管理平台、协同办公系统运维、网络等保测评和商密应用安全评估服务、农产品价格监测预警系统运维及数据采集服务</w:t>
      </w:r>
    </w:p>
    <w:p>
      <w:pPr>
        <w:spacing w:line="360" w:lineRule="auto"/>
        <w:ind w:firstLine="964" w:firstLineChars="300"/>
        <w:rPr>
          <w:rFonts w:ascii="宋体" w:hAnsi="宋体" w:cs="宋体"/>
          <w:color w:val="auto"/>
          <w:highlight w:val="none"/>
        </w:rPr>
      </w:pPr>
      <w:r>
        <w:rPr>
          <w:rFonts w:hint="eastAsia" w:ascii="宋体" w:hAnsi="宋体" w:cs="宋体"/>
          <w:b/>
          <w:color w:val="auto"/>
          <w:sz w:val="32"/>
          <w:szCs w:val="32"/>
          <w:highlight w:val="none"/>
        </w:rPr>
        <w:t>项目编号：</w:t>
      </w:r>
      <w:r>
        <w:rPr>
          <w:rFonts w:hint="eastAsia" w:ascii="宋体" w:hAnsi="宋体" w:cs="宋体"/>
          <w:b/>
          <w:color w:val="auto"/>
          <w:sz w:val="32"/>
          <w:szCs w:val="32"/>
          <w:highlight w:val="none"/>
          <w:lang w:eastAsia="zh-CN"/>
        </w:rPr>
        <w:t>GXZC2025-C3-001196-GXDY</w:t>
      </w:r>
      <w:r>
        <w:rPr>
          <w:rFonts w:hint="eastAsia" w:ascii="宋体" w:hAnsi="宋体" w:cs="宋体"/>
          <w:b/>
          <w:color w:val="auto"/>
          <w:sz w:val="32"/>
          <w:szCs w:val="32"/>
          <w:highlight w:val="none"/>
        </w:rPr>
        <w:t xml:space="preserve"> </w:t>
      </w:r>
    </w:p>
    <w:p>
      <w:pPr>
        <w:spacing w:line="360" w:lineRule="auto"/>
        <w:ind w:firstLine="890" w:firstLineChars="445"/>
        <w:rPr>
          <w:rFonts w:ascii="宋体" w:hAnsi="宋体" w:cs="宋体"/>
          <w:b/>
          <w:color w:val="auto"/>
          <w:sz w:val="32"/>
          <w:szCs w:val="32"/>
          <w:highlight w:val="none"/>
        </w:rPr>
      </w:pPr>
      <w:r>
        <w:rPr>
          <w:rFonts w:hint="eastAsia" w:ascii="宋体" w:hAnsi="宋体" w:cs="宋体"/>
          <w:color w:val="auto"/>
          <w:sz w:val="20"/>
          <w:highlight w:val="none"/>
          <w:u w:val="single"/>
        </w:rPr>
        <mc:AlternateContent>
          <mc:Choice Requires="wps">
            <w:drawing>
              <wp:anchor distT="0" distB="0" distL="114300" distR="114300" simplePos="0" relativeHeight="251671552" behindDoc="0" locked="0" layoutInCell="1" allowOverlap="1">
                <wp:simplePos x="0" y="0"/>
                <wp:positionH relativeFrom="column">
                  <wp:posOffset>-160655</wp:posOffset>
                </wp:positionH>
                <wp:positionV relativeFrom="paragraph">
                  <wp:posOffset>167640</wp:posOffset>
                </wp:positionV>
                <wp:extent cx="5944235" cy="8255"/>
                <wp:effectExtent l="19050" t="19050" r="18415" b="29845"/>
                <wp:wrapNone/>
                <wp:docPr id="13" name="直接连接符 2"/>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直接连接符 2" o:spid="_x0000_s1026" o:spt="20" style="position:absolute;left:0pt;flip:y;margin-left:-12.65pt;margin-top:13.2pt;height:0.65pt;width:468.05pt;z-index:251671552;mso-width-relative:page;mso-height-relative:page;" filled="f" stroked="t" coordsize="21600,21600" o:gfxdata="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jpJzQ2AAAAAkBAAAPAAAAAAAAAAEAIAAAACIAAABkcnMvZG93bnJldi54bWxQ&#10;SwECFAAUAAAACACHTuJAGi7LOfcBAADnAwAADgAAAAAAAAABACAAAAAnAQAAZHJzL2Uyb0RvYy54&#10;bWxQSwUGAAAAAAYABgBZAQAAkAUAAAAA&#10;">
                <v:fill on="f" focussize="0,0"/>
                <v:stroke weight="2.25pt" color="#000000" joinstyle="round"/>
                <v:imagedata o:title=""/>
                <o:lock v:ext="edit" aspectratio="f"/>
              </v:line>
            </w:pict>
          </mc:Fallback>
        </mc:AlternateContent>
      </w:r>
    </w:p>
    <w:p>
      <w:pPr>
        <w:spacing w:line="360" w:lineRule="auto"/>
        <w:ind w:firstLine="1430" w:firstLineChars="445"/>
        <w:rPr>
          <w:rFonts w:ascii="宋体" w:hAnsi="宋体" w:cs="宋体"/>
          <w:b/>
          <w:color w:val="auto"/>
          <w:sz w:val="32"/>
          <w:szCs w:val="32"/>
          <w:highlight w:val="none"/>
        </w:rPr>
      </w:pPr>
    </w:p>
    <w:p>
      <w:pPr>
        <w:spacing w:line="360" w:lineRule="auto"/>
        <w:ind w:firstLine="964" w:firstLineChars="300"/>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采购人：</w:t>
      </w:r>
      <w:r>
        <w:rPr>
          <w:rFonts w:hint="eastAsia" w:ascii="宋体" w:hAnsi="宋体" w:cs="宋体"/>
          <w:b/>
          <w:color w:val="auto"/>
          <w:sz w:val="32"/>
          <w:szCs w:val="32"/>
          <w:highlight w:val="none"/>
          <w:lang w:eastAsia="zh-CN"/>
        </w:rPr>
        <w:t>广西壮族自治区农业信息中心</w:t>
      </w:r>
    </w:p>
    <w:p>
      <w:pPr>
        <w:spacing w:line="360" w:lineRule="auto"/>
        <w:ind w:firstLine="964" w:firstLineChars="300"/>
        <w:rPr>
          <w:rFonts w:ascii="宋体" w:hAnsi="宋体" w:cs="宋体"/>
          <w:b/>
          <w:color w:val="auto"/>
          <w:sz w:val="32"/>
          <w:szCs w:val="32"/>
          <w:highlight w:val="none"/>
        </w:rPr>
      </w:pPr>
      <w:r>
        <w:rPr>
          <w:rFonts w:hint="eastAsia" w:ascii="宋体" w:hAnsi="宋体" w:cs="宋体"/>
          <w:b/>
          <w:color w:val="auto"/>
          <w:sz w:val="32"/>
          <w:szCs w:val="32"/>
          <w:highlight w:val="none"/>
        </w:rPr>
        <w:t>采购代理机构：广西德元工程项目管理有限责任公司</w:t>
      </w:r>
    </w:p>
    <w:p>
      <w:pPr>
        <w:spacing w:line="360" w:lineRule="auto"/>
        <w:rPr>
          <w:rFonts w:ascii="宋体" w:hAnsi="宋体" w:cs="宋体"/>
          <w:b/>
          <w:color w:val="auto"/>
          <w:sz w:val="32"/>
          <w:szCs w:val="32"/>
          <w:highlight w:val="none"/>
        </w:rPr>
      </w:pPr>
    </w:p>
    <w:p>
      <w:pPr>
        <w:pStyle w:val="23"/>
        <w:snapToGrid w:val="0"/>
        <w:spacing w:before="120" w:after="120" w:line="440" w:lineRule="exact"/>
        <w:jc w:val="center"/>
        <w:rPr>
          <w:rFonts w:hAnsi="宋体" w:cs="宋体"/>
          <w:b/>
          <w:bCs/>
          <w:color w:val="auto"/>
          <w:w w:val="95"/>
          <w:sz w:val="32"/>
          <w:szCs w:val="32"/>
          <w:highlight w:val="none"/>
        </w:rPr>
      </w:pPr>
      <w:r>
        <w:rPr>
          <w:rFonts w:hint="eastAsia" w:hAnsi="宋体" w:cs="宋体"/>
          <w:b/>
          <w:color w:val="auto"/>
          <w:sz w:val="32"/>
          <w:szCs w:val="32"/>
          <w:highlight w:val="none"/>
        </w:rPr>
        <w:t>2025年</w:t>
      </w:r>
      <w:r>
        <w:rPr>
          <w:rFonts w:hint="eastAsia" w:hAnsi="宋体" w:cs="宋体"/>
          <w:b/>
          <w:color w:val="auto"/>
          <w:sz w:val="32"/>
          <w:szCs w:val="32"/>
          <w:highlight w:val="none"/>
          <w:lang w:val="en-US" w:eastAsia="zh-CN"/>
        </w:rPr>
        <w:t>5</w:t>
      </w:r>
      <w:r>
        <w:rPr>
          <w:rFonts w:hint="eastAsia" w:hAnsi="宋体" w:cs="宋体"/>
          <w:b/>
          <w:color w:val="auto"/>
          <w:sz w:val="32"/>
          <w:szCs w:val="32"/>
          <w:highlight w:val="none"/>
        </w:rPr>
        <w:t>月</w:t>
      </w:r>
    </w:p>
    <w:p>
      <w:pPr>
        <w:pStyle w:val="23"/>
        <w:snapToGrid w:val="0"/>
        <w:spacing w:before="120" w:after="120" w:line="440" w:lineRule="exact"/>
        <w:jc w:val="center"/>
        <w:rPr>
          <w:rFonts w:hAnsi="宋体" w:cs="宋体"/>
          <w:b/>
          <w:bCs/>
          <w:color w:val="auto"/>
          <w:w w:val="95"/>
          <w:sz w:val="32"/>
          <w:szCs w:val="32"/>
          <w:highlight w:val="none"/>
        </w:rPr>
      </w:pPr>
    </w:p>
    <w:p>
      <w:pPr>
        <w:spacing w:line="440" w:lineRule="exact"/>
        <w:jc w:val="center"/>
        <w:rPr>
          <w:rFonts w:ascii="宋体" w:hAnsi="宋体" w:cs="宋体"/>
          <w:color w:val="auto"/>
          <w:sz w:val="44"/>
          <w:szCs w:val="44"/>
          <w:highlight w:val="none"/>
        </w:rPr>
      </w:pPr>
    </w:p>
    <w:p>
      <w:pPr>
        <w:spacing w:line="440" w:lineRule="exact"/>
        <w:jc w:val="center"/>
        <w:rPr>
          <w:rFonts w:ascii="宋体" w:hAnsi="宋体" w:cs="宋体"/>
          <w:color w:val="auto"/>
          <w:sz w:val="44"/>
          <w:szCs w:val="44"/>
          <w:highlight w:val="none"/>
        </w:rPr>
      </w:pPr>
    </w:p>
    <w:p>
      <w:pPr>
        <w:spacing w:line="440" w:lineRule="exact"/>
        <w:jc w:val="center"/>
        <w:rPr>
          <w:rFonts w:ascii="宋体" w:hAnsi="宋体" w:cs="宋体"/>
          <w:color w:val="auto"/>
          <w:sz w:val="44"/>
          <w:szCs w:val="44"/>
          <w:highlight w:val="none"/>
        </w:rPr>
      </w:pPr>
    </w:p>
    <w:p>
      <w:pPr>
        <w:jc w:val="center"/>
        <w:rPr>
          <w:rFonts w:ascii="宋体" w:hAnsi="宋体" w:cs="宋体"/>
          <w:color w:val="auto"/>
          <w:sz w:val="44"/>
          <w:szCs w:val="44"/>
          <w:highlight w:val="none"/>
        </w:rPr>
      </w:pPr>
      <w:r>
        <w:rPr>
          <w:rFonts w:hint="eastAsia" w:ascii="宋体" w:hAnsi="宋体" w:cs="宋体"/>
          <w:color w:val="auto"/>
          <w:sz w:val="44"/>
          <w:szCs w:val="44"/>
          <w:highlight w:val="none"/>
        </w:rPr>
        <w:t>目       录</w:t>
      </w:r>
    </w:p>
    <w:p>
      <w:pPr>
        <w:spacing w:line="440" w:lineRule="exact"/>
        <w:jc w:val="left"/>
        <w:rPr>
          <w:rFonts w:ascii="宋体" w:hAnsi="宋体" w:cs="宋体"/>
          <w:color w:val="auto"/>
          <w:sz w:val="32"/>
          <w:szCs w:val="32"/>
          <w:highlight w:val="none"/>
        </w:rPr>
      </w:pPr>
    </w:p>
    <w:p>
      <w:pPr>
        <w:pStyle w:val="29"/>
        <w:spacing w:line="440" w:lineRule="exact"/>
        <w:ind w:left="0" w:leftChars="0" w:firstLine="472" w:firstLineChars="147"/>
        <w:rPr>
          <w:rFonts w:cs="宋体"/>
          <w:b w:val="0"/>
          <w:bCs w:val="0"/>
          <w:caps w:val="0"/>
          <w:color w:val="auto"/>
          <w:sz w:val="21"/>
          <w:szCs w:val="22"/>
          <w:highlight w:val="none"/>
        </w:rPr>
      </w:pPr>
      <w:r>
        <w:rPr>
          <w:rFonts w:hint="eastAsia" w:cs="宋体"/>
          <w:color w:val="auto"/>
          <w:sz w:val="32"/>
          <w:szCs w:val="32"/>
          <w:highlight w:val="none"/>
        </w:rPr>
        <w:fldChar w:fldCharType="begin"/>
      </w:r>
      <w:r>
        <w:rPr>
          <w:rStyle w:val="48"/>
          <w:rFonts w:hint="eastAsia" w:cs="宋体"/>
          <w:color w:val="auto"/>
          <w:sz w:val="32"/>
          <w:szCs w:val="32"/>
          <w:highlight w:val="none"/>
        </w:rPr>
        <w:instrText xml:space="preserve"> TOC \o "1-3" \h \z </w:instrText>
      </w:r>
      <w:r>
        <w:rPr>
          <w:rFonts w:hint="eastAsia" w:cs="宋体"/>
          <w:color w:val="auto"/>
          <w:sz w:val="32"/>
          <w:szCs w:val="32"/>
          <w:highlight w:val="none"/>
        </w:rPr>
        <w:fldChar w:fldCharType="separate"/>
      </w:r>
      <w:r>
        <w:rPr>
          <w:color w:val="auto"/>
          <w:highlight w:val="none"/>
        </w:rPr>
        <w:fldChar w:fldCharType="begin"/>
      </w:r>
      <w:r>
        <w:rPr>
          <w:color w:val="auto"/>
          <w:highlight w:val="none"/>
        </w:rPr>
        <w:instrText xml:space="preserve"> HYPERLINK \l "_Toc88747291" </w:instrText>
      </w:r>
      <w:r>
        <w:rPr>
          <w:color w:val="auto"/>
          <w:highlight w:val="none"/>
        </w:rPr>
        <w:fldChar w:fldCharType="separate"/>
      </w:r>
      <w:r>
        <w:rPr>
          <w:rStyle w:val="48"/>
          <w:rFonts w:hint="eastAsia" w:cs="宋体"/>
          <w:color w:val="auto"/>
          <w:highlight w:val="none"/>
        </w:rPr>
        <w:t>第一章竞争性磋商采购公告</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_Toc88747291 \h </w:instrText>
      </w:r>
      <w:r>
        <w:rPr>
          <w:rFonts w:hint="eastAsia" w:cs="宋体"/>
          <w:color w:val="auto"/>
          <w:highlight w:val="none"/>
        </w:rPr>
        <w:fldChar w:fldCharType="separate"/>
      </w:r>
      <w:r>
        <w:rPr>
          <w:rFonts w:hint="eastAsia" w:cs="宋体"/>
          <w:color w:val="auto"/>
          <w:highlight w:val="none"/>
        </w:rPr>
        <w:t>1</w:t>
      </w:r>
      <w:r>
        <w:rPr>
          <w:rFonts w:hint="eastAsia" w:cs="宋体"/>
          <w:color w:val="auto"/>
          <w:highlight w:val="none"/>
        </w:rPr>
        <w:fldChar w:fldCharType="end"/>
      </w:r>
      <w:r>
        <w:rPr>
          <w:rFonts w:hint="eastAsia" w:cs="宋体"/>
          <w:color w:val="auto"/>
          <w:highlight w:val="none"/>
        </w:rPr>
        <w:fldChar w:fldCharType="end"/>
      </w:r>
    </w:p>
    <w:p>
      <w:pPr>
        <w:pStyle w:val="29"/>
        <w:spacing w:line="440" w:lineRule="exact"/>
        <w:ind w:firstLine="330"/>
        <w:rPr>
          <w:rFonts w:cs="宋体"/>
          <w:b w:val="0"/>
          <w:bCs w:val="0"/>
          <w:caps w:val="0"/>
          <w:color w:val="auto"/>
          <w:sz w:val="21"/>
          <w:szCs w:val="22"/>
          <w:highlight w:val="none"/>
        </w:rPr>
      </w:pPr>
      <w:r>
        <w:rPr>
          <w:color w:val="auto"/>
          <w:highlight w:val="none"/>
        </w:rPr>
        <w:fldChar w:fldCharType="begin"/>
      </w:r>
      <w:r>
        <w:rPr>
          <w:color w:val="auto"/>
          <w:highlight w:val="none"/>
        </w:rPr>
        <w:instrText xml:space="preserve"> HYPERLINK \l "_Toc88747292" </w:instrText>
      </w:r>
      <w:r>
        <w:rPr>
          <w:color w:val="auto"/>
          <w:highlight w:val="none"/>
        </w:rPr>
        <w:fldChar w:fldCharType="separate"/>
      </w:r>
      <w:r>
        <w:rPr>
          <w:rStyle w:val="48"/>
          <w:rFonts w:hint="eastAsia" w:cs="宋体"/>
          <w:color w:val="auto"/>
          <w:highlight w:val="none"/>
        </w:rPr>
        <w:t>第二章供应商须知</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_Toc88747292 \h </w:instrText>
      </w:r>
      <w:r>
        <w:rPr>
          <w:rFonts w:hint="eastAsia" w:cs="宋体"/>
          <w:color w:val="auto"/>
          <w:highlight w:val="none"/>
        </w:rPr>
        <w:fldChar w:fldCharType="separate"/>
      </w:r>
      <w:r>
        <w:rPr>
          <w:rFonts w:hint="eastAsia" w:cs="宋体"/>
          <w:color w:val="auto"/>
          <w:highlight w:val="none"/>
        </w:rPr>
        <w:t>7</w:t>
      </w:r>
      <w:r>
        <w:rPr>
          <w:rFonts w:hint="eastAsia" w:cs="宋体"/>
          <w:color w:val="auto"/>
          <w:highlight w:val="none"/>
        </w:rPr>
        <w:fldChar w:fldCharType="end"/>
      </w:r>
      <w:r>
        <w:rPr>
          <w:rFonts w:hint="eastAsia" w:cs="宋体"/>
          <w:color w:val="auto"/>
          <w:highlight w:val="none"/>
        </w:rPr>
        <w:fldChar w:fldCharType="end"/>
      </w:r>
    </w:p>
    <w:p>
      <w:pPr>
        <w:pStyle w:val="29"/>
        <w:spacing w:line="440" w:lineRule="exact"/>
        <w:ind w:firstLine="330"/>
        <w:rPr>
          <w:rFonts w:cs="宋体"/>
          <w:b w:val="0"/>
          <w:bCs w:val="0"/>
          <w:caps w:val="0"/>
          <w:color w:val="auto"/>
          <w:sz w:val="21"/>
          <w:szCs w:val="22"/>
          <w:highlight w:val="none"/>
        </w:rPr>
      </w:pPr>
      <w:r>
        <w:rPr>
          <w:color w:val="auto"/>
          <w:highlight w:val="none"/>
        </w:rPr>
        <w:fldChar w:fldCharType="begin"/>
      </w:r>
      <w:r>
        <w:rPr>
          <w:color w:val="auto"/>
          <w:highlight w:val="none"/>
        </w:rPr>
        <w:instrText xml:space="preserve"> HYPERLINK \l "_Toc88747293" </w:instrText>
      </w:r>
      <w:r>
        <w:rPr>
          <w:color w:val="auto"/>
          <w:highlight w:val="none"/>
        </w:rPr>
        <w:fldChar w:fldCharType="separate"/>
      </w:r>
      <w:r>
        <w:rPr>
          <w:rStyle w:val="48"/>
          <w:rFonts w:hint="eastAsia" w:cs="宋体"/>
          <w:color w:val="auto"/>
          <w:highlight w:val="none"/>
        </w:rPr>
        <w:t>第三章项目采购需求</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_Toc88747293 \h </w:instrText>
      </w:r>
      <w:r>
        <w:rPr>
          <w:rFonts w:hint="eastAsia" w:cs="宋体"/>
          <w:color w:val="auto"/>
          <w:highlight w:val="none"/>
        </w:rPr>
        <w:fldChar w:fldCharType="separate"/>
      </w:r>
      <w:r>
        <w:rPr>
          <w:rFonts w:hint="eastAsia" w:cs="宋体"/>
          <w:color w:val="auto"/>
          <w:highlight w:val="none"/>
        </w:rPr>
        <w:t>33</w:t>
      </w:r>
      <w:r>
        <w:rPr>
          <w:rFonts w:hint="eastAsia" w:cs="宋体"/>
          <w:color w:val="auto"/>
          <w:highlight w:val="none"/>
        </w:rPr>
        <w:fldChar w:fldCharType="end"/>
      </w:r>
      <w:r>
        <w:rPr>
          <w:rFonts w:hint="eastAsia" w:cs="宋体"/>
          <w:color w:val="auto"/>
          <w:highlight w:val="none"/>
        </w:rPr>
        <w:fldChar w:fldCharType="end"/>
      </w:r>
    </w:p>
    <w:p>
      <w:pPr>
        <w:pStyle w:val="29"/>
        <w:spacing w:line="440" w:lineRule="exact"/>
        <w:ind w:firstLine="330"/>
        <w:rPr>
          <w:rFonts w:cs="宋体"/>
          <w:b w:val="0"/>
          <w:bCs w:val="0"/>
          <w:caps w:val="0"/>
          <w:color w:val="auto"/>
          <w:sz w:val="21"/>
          <w:szCs w:val="22"/>
          <w:highlight w:val="none"/>
        </w:rPr>
      </w:pPr>
      <w:r>
        <w:rPr>
          <w:color w:val="auto"/>
          <w:highlight w:val="none"/>
        </w:rPr>
        <w:fldChar w:fldCharType="begin"/>
      </w:r>
      <w:r>
        <w:rPr>
          <w:color w:val="auto"/>
          <w:highlight w:val="none"/>
        </w:rPr>
        <w:instrText xml:space="preserve"> HYPERLINK \l "_Toc88747294" </w:instrText>
      </w:r>
      <w:r>
        <w:rPr>
          <w:color w:val="auto"/>
          <w:highlight w:val="none"/>
        </w:rPr>
        <w:fldChar w:fldCharType="separate"/>
      </w:r>
      <w:r>
        <w:rPr>
          <w:rStyle w:val="48"/>
          <w:rFonts w:hint="eastAsia" w:cs="宋体"/>
          <w:color w:val="auto"/>
          <w:highlight w:val="none"/>
        </w:rPr>
        <w:t>第四章响应文件格式</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_Toc88747294 \h </w:instrText>
      </w:r>
      <w:r>
        <w:rPr>
          <w:rFonts w:hint="eastAsia" w:cs="宋体"/>
          <w:color w:val="auto"/>
          <w:highlight w:val="none"/>
        </w:rPr>
        <w:fldChar w:fldCharType="separate"/>
      </w:r>
      <w:r>
        <w:rPr>
          <w:rFonts w:hint="eastAsia" w:cs="宋体"/>
          <w:color w:val="auto"/>
          <w:highlight w:val="none"/>
        </w:rPr>
        <w:t>69</w:t>
      </w:r>
      <w:r>
        <w:rPr>
          <w:rFonts w:hint="eastAsia" w:cs="宋体"/>
          <w:color w:val="auto"/>
          <w:highlight w:val="none"/>
        </w:rPr>
        <w:fldChar w:fldCharType="end"/>
      </w:r>
      <w:r>
        <w:rPr>
          <w:rFonts w:hint="eastAsia" w:cs="宋体"/>
          <w:color w:val="auto"/>
          <w:highlight w:val="none"/>
        </w:rPr>
        <w:fldChar w:fldCharType="end"/>
      </w:r>
    </w:p>
    <w:p>
      <w:pPr>
        <w:pStyle w:val="29"/>
        <w:spacing w:line="440" w:lineRule="exact"/>
        <w:ind w:firstLine="330"/>
        <w:rPr>
          <w:rFonts w:cs="宋体"/>
          <w:b w:val="0"/>
          <w:bCs w:val="0"/>
          <w:caps w:val="0"/>
          <w:color w:val="auto"/>
          <w:sz w:val="21"/>
          <w:szCs w:val="22"/>
          <w:highlight w:val="none"/>
        </w:rPr>
      </w:pPr>
      <w:r>
        <w:rPr>
          <w:color w:val="auto"/>
          <w:highlight w:val="none"/>
        </w:rPr>
        <w:fldChar w:fldCharType="begin"/>
      </w:r>
      <w:r>
        <w:rPr>
          <w:color w:val="auto"/>
          <w:highlight w:val="none"/>
        </w:rPr>
        <w:instrText xml:space="preserve"> HYPERLINK \l "_Toc88747295" </w:instrText>
      </w:r>
      <w:r>
        <w:rPr>
          <w:color w:val="auto"/>
          <w:highlight w:val="none"/>
        </w:rPr>
        <w:fldChar w:fldCharType="separate"/>
      </w:r>
      <w:r>
        <w:rPr>
          <w:rStyle w:val="48"/>
          <w:rFonts w:hint="eastAsia" w:cs="宋体"/>
          <w:color w:val="auto"/>
          <w:highlight w:val="none"/>
        </w:rPr>
        <w:t>第五章合同主要条款</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_Toc88747295 \h </w:instrText>
      </w:r>
      <w:r>
        <w:rPr>
          <w:rFonts w:hint="eastAsia" w:cs="宋体"/>
          <w:color w:val="auto"/>
          <w:highlight w:val="none"/>
        </w:rPr>
        <w:fldChar w:fldCharType="separate"/>
      </w:r>
      <w:r>
        <w:rPr>
          <w:rFonts w:hint="eastAsia" w:cs="宋体"/>
          <w:color w:val="auto"/>
          <w:highlight w:val="none"/>
        </w:rPr>
        <w:t>95</w:t>
      </w:r>
      <w:r>
        <w:rPr>
          <w:rFonts w:hint="eastAsia" w:cs="宋体"/>
          <w:color w:val="auto"/>
          <w:highlight w:val="none"/>
        </w:rPr>
        <w:fldChar w:fldCharType="end"/>
      </w:r>
      <w:r>
        <w:rPr>
          <w:rFonts w:hint="eastAsia" w:cs="宋体"/>
          <w:color w:val="auto"/>
          <w:highlight w:val="none"/>
        </w:rPr>
        <w:fldChar w:fldCharType="end"/>
      </w:r>
    </w:p>
    <w:p>
      <w:pPr>
        <w:pStyle w:val="29"/>
        <w:spacing w:line="440" w:lineRule="exact"/>
        <w:ind w:firstLine="330"/>
        <w:rPr>
          <w:rFonts w:cs="宋体"/>
          <w:b w:val="0"/>
          <w:bCs w:val="0"/>
          <w:caps w:val="0"/>
          <w:color w:val="auto"/>
          <w:sz w:val="21"/>
          <w:szCs w:val="22"/>
          <w:highlight w:val="none"/>
        </w:rPr>
      </w:pPr>
      <w:r>
        <w:rPr>
          <w:color w:val="auto"/>
          <w:highlight w:val="none"/>
        </w:rPr>
        <w:fldChar w:fldCharType="begin"/>
      </w:r>
      <w:r>
        <w:rPr>
          <w:color w:val="auto"/>
          <w:highlight w:val="none"/>
        </w:rPr>
        <w:instrText xml:space="preserve"> HYPERLINK \l "_Toc88747296" </w:instrText>
      </w:r>
      <w:r>
        <w:rPr>
          <w:color w:val="auto"/>
          <w:highlight w:val="none"/>
        </w:rPr>
        <w:fldChar w:fldCharType="separate"/>
      </w:r>
      <w:r>
        <w:rPr>
          <w:rStyle w:val="48"/>
          <w:rFonts w:hint="eastAsia" w:cs="宋体"/>
          <w:color w:val="auto"/>
          <w:highlight w:val="none"/>
        </w:rPr>
        <w:t>第六章评审方法和评审标准</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_Toc88747296 \h </w:instrText>
      </w:r>
      <w:r>
        <w:rPr>
          <w:rFonts w:hint="eastAsia" w:cs="宋体"/>
          <w:color w:val="auto"/>
          <w:highlight w:val="none"/>
        </w:rPr>
        <w:fldChar w:fldCharType="separate"/>
      </w:r>
      <w:r>
        <w:rPr>
          <w:rFonts w:hint="eastAsia" w:cs="宋体"/>
          <w:color w:val="auto"/>
          <w:highlight w:val="none"/>
        </w:rPr>
        <w:t>100</w:t>
      </w:r>
      <w:r>
        <w:rPr>
          <w:rFonts w:hint="eastAsia" w:cs="宋体"/>
          <w:color w:val="auto"/>
          <w:highlight w:val="none"/>
        </w:rPr>
        <w:fldChar w:fldCharType="end"/>
      </w:r>
      <w:r>
        <w:rPr>
          <w:rFonts w:hint="eastAsia" w:cs="宋体"/>
          <w:color w:val="auto"/>
          <w:highlight w:val="none"/>
        </w:rPr>
        <w:fldChar w:fldCharType="end"/>
      </w:r>
    </w:p>
    <w:p>
      <w:pPr>
        <w:spacing w:line="440" w:lineRule="exact"/>
        <w:jc w:val="left"/>
        <w:rPr>
          <w:rStyle w:val="48"/>
          <w:rFonts w:ascii="宋体" w:hAnsi="宋体" w:cs="宋体"/>
          <w:b/>
          <w:color w:val="auto"/>
          <w:sz w:val="32"/>
          <w:szCs w:val="32"/>
          <w:highlight w:val="none"/>
        </w:rPr>
      </w:pPr>
      <w:r>
        <w:rPr>
          <w:rFonts w:hint="eastAsia" w:ascii="宋体" w:hAnsi="宋体" w:cs="宋体"/>
          <w:b/>
          <w:color w:val="auto"/>
          <w:sz w:val="32"/>
          <w:szCs w:val="32"/>
          <w:highlight w:val="none"/>
        </w:rPr>
        <w:fldChar w:fldCharType="end"/>
      </w:r>
    </w:p>
    <w:p>
      <w:pPr>
        <w:spacing w:line="440" w:lineRule="exact"/>
        <w:jc w:val="left"/>
        <w:rPr>
          <w:rFonts w:ascii="宋体" w:hAnsi="宋体" w:cs="宋体"/>
          <w:color w:val="auto"/>
          <w:sz w:val="32"/>
          <w:szCs w:val="32"/>
          <w:highlight w:val="none"/>
        </w:rPr>
      </w:pPr>
    </w:p>
    <w:p>
      <w:pPr>
        <w:pStyle w:val="4"/>
        <w:spacing w:line="440" w:lineRule="exact"/>
        <w:jc w:val="center"/>
        <w:rPr>
          <w:rFonts w:ascii="宋体" w:hAnsi="宋体" w:cs="宋体"/>
          <w:color w:val="auto"/>
          <w:sz w:val="32"/>
          <w:szCs w:val="32"/>
          <w:highlight w:val="none"/>
        </w:rPr>
        <w:sectPr>
          <w:headerReference r:id="rId3" w:type="default"/>
          <w:pgSz w:w="11906" w:h="16838"/>
          <w:pgMar w:top="1134" w:right="1247" w:bottom="1134" w:left="1247" w:header="851" w:footer="992" w:gutter="0"/>
          <w:cols w:space="720" w:num="1"/>
          <w:docGrid w:linePitch="312" w:charSpace="0"/>
        </w:sectPr>
      </w:pPr>
      <w:bookmarkStart w:id="0" w:name="_Toc88747291"/>
    </w:p>
    <w:p>
      <w:pPr>
        <w:pStyle w:val="4"/>
        <w:spacing w:line="44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第一章 竞争性磋商采购公告</w:t>
      </w:r>
      <w:bookmarkEnd w:id="0"/>
    </w:p>
    <w:p>
      <w:pPr>
        <w:pStyle w:val="188"/>
        <w:widowControl w:val="0"/>
        <w:spacing w:after="120" w:line="4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项目概况：</w:t>
      </w:r>
    </w:p>
    <w:p>
      <w:pPr>
        <w:pStyle w:val="188"/>
        <w:widowControl w:val="0"/>
        <w:spacing w:after="120" w:line="4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u w:val="single"/>
        </w:rPr>
        <w:t>农情系统、自然灾害预警监控系统、农药数字监管平台、粮食功能区管理平台、协同办公系统运维、网络等保测评和商密应用安全评估服务、农产品价格监测预警系统运维及数据采集服务</w:t>
      </w:r>
      <w:r>
        <w:rPr>
          <w:rFonts w:hint="eastAsia" w:ascii="宋体" w:hAnsi="宋体" w:cs="宋体"/>
          <w:color w:val="auto"/>
          <w:sz w:val="21"/>
          <w:szCs w:val="21"/>
          <w:highlight w:val="none"/>
        </w:rPr>
        <w:t>采购项目的潜在供应商应在广西政府采购云平台获取线上获取采购文件，并于</w:t>
      </w:r>
      <w:r>
        <w:rPr>
          <w:rFonts w:hint="eastAsia" w:ascii="宋体" w:hAnsi="宋体" w:cs="宋体"/>
          <w:color w:val="auto"/>
          <w:sz w:val="21"/>
          <w:szCs w:val="21"/>
          <w:highlight w:val="none"/>
          <w:u w:val="single"/>
        </w:rPr>
        <w:t>2025</w:t>
      </w:r>
      <w:r>
        <w:rPr>
          <w:rFonts w:hint="eastAsia" w:ascii="宋体" w:hAnsi="宋体" w:cs="宋体"/>
          <w:bCs/>
          <w:color w:val="auto"/>
          <w:sz w:val="21"/>
          <w:szCs w:val="21"/>
          <w:highlight w:val="none"/>
          <w:u w:val="single"/>
        </w:rPr>
        <w:t>年</w:t>
      </w:r>
      <w:r>
        <w:rPr>
          <w:rFonts w:hint="eastAsia" w:ascii="宋体" w:hAnsi="宋体" w:cs="宋体"/>
          <w:bCs/>
          <w:color w:val="auto"/>
          <w:sz w:val="21"/>
          <w:szCs w:val="21"/>
          <w:highlight w:val="none"/>
          <w:u w:val="single"/>
          <w:lang w:val="en-US" w:eastAsia="zh-CN"/>
        </w:rPr>
        <w:t>05</w:t>
      </w:r>
      <w:r>
        <w:rPr>
          <w:rFonts w:hint="eastAsia" w:ascii="宋体" w:hAnsi="宋体" w:cs="宋体"/>
          <w:bCs/>
          <w:color w:val="auto"/>
          <w:sz w:val="21"/>
          <w:szCs w:val="21"/>
          <w:highlight w:val="none"/>
          <w:u w:val="single"/>
        </w:rPr>
        <w:t>月</w:t>
      </w:r>
      <w:r>
        <w:rPr>
          <w:rFonts w:hint="eastAsia" w:ascii="宋体" w:hAnsi="宋体" w:cs="宋体"/>
          <w:bCs/>
          <w:color w:val="auto"/>
          <w:sz w:val="21"/>
          <w:szCs w:val="21"/>
          <w:highlight w:val="none"/>
          <w:u w:val="single"/>
          <w:lang w:val="en-US" w:eastAsia="zh-CN"/>
        </w:rPr>
        <w:t>27</w:t>
      </w:r>
      <w:r>
        <w:rPr>
          <w:rFonts w:hint="eastAsia" w:ascii="宋体" w:hAnsi="宋体" w:cs="宋体"/>
          <w:bCs/>
          <w:color w:val="auto"/>
          <w:sz w:val="21"/>
          <w:szCs w:val="21"/>
          <w:highlight w:val="none"/>
          <w:u w:val="single"/>
        </w:rPr>
        <w:t>日09：30（</w:t>
      </w:r>
      <w:r>
        <w:rPr>
          <w:rFonts w:hint="eastAsia" w:ascii="宋体" w:hAnsi="宋体" w:cs="宋体"/>
          <w:bCs/>
          <w:color w:val="auto"/>
          <w:sz w:val="21"/>
          <w:szCs w:val="21"/>
          <w:highlight w:val="none"/>
        </w:rPr>
        <w:t>北京时间）前提交响应文件</w:t>
      </w:r>
      <w:r>
        <w:rPr>
          <w:rFonts w:hint="eastAsia" w:ascii="宋体" w:hAnsi="宋体" w:cs="宋体"/>
          <w:color w:val="auto"/>
          <w:sz w:val="21"/>
          <w:szCs w:val="21"/>
          <w:highlight w:val="none"/>
        </w:rPr>
        <w:t>。</w:t>
      </w:r>
      <w:bookmarkStart w:id="1" w:name="_Toc35393621"/>
      <w:bookmarkStart w:id="2" w:name="_Toc28359002"/>
      <w:bookmarkStart w:id="3" w:name="_Toc35393790"/>
      <w:bookmarkStart w:id="4" w:name="_Toc28359079"/>
      <w:bookmarkStart w:id="5" w:name="_Hlk24379207"/>
    </w:p>
    <w:p>
      <w:pPr>
        <w:pStyle w:val="188"/>
        <w:widowControl w:val="0"/>
        <w:spacing w:after="120" w:line="440" w:lineRule="exact"/>
        <w:ind w:firstLine="422"/>
        <w:rPr>
          <w:rFonts w:ascii="宋体" w:hAnsi="宋体" w:cs="宋体"/>
          <w:color w:val="auto"/>
          <w:sz w:val="21"/>
          <w:szCs w:val="21"/>
          <w:highlight w:val="none"/>
        </w:rPr>
      </w:pPr>
      <w:r>
        <w:rPr>
          <w:rFonts w:hint="eastAsia" w:ascii="宋体" w:hAnsi="宋体" w:cs="宋体"/>
          <w:b/>
          <w:color w:val="auto"/>
          <w:sz w:val="21"/>
          <w:szCs w:val="21"/>
          <w:highlight w:val="none"/>
        </w:rPr>
        <w:t>一、项目基本情况</w:t>
      </w:r>
      <w:bookmarkEnd w:id="1"/>
      <w:bookmarkEnd w:id="2"/>
      <w:bookmarkEnd w:id="3"/>
      <w:bookmarkEnd w:id="4"/>
    </w:p>
    <w:p>
      <w:pPr>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GXZC2025-C3-001196-GXDY</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项目名称：农情系统、自然灾害预警监控系统、农药数字监管平台、粮食功能区管理平台、协同办公系统运维、网络等保测评和商密应用安全评估服务、农产品价格监测预警系统运维及数据采集服务</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采购方式：竞争性磋商</w:t>
      </w:r>
    </w:p>
    <w:bookmarkEnd w:id="5"/>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预算总金额（元）：1263700</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采购需求：</w:t>
      </w:r>
    </w:p>
    <w:p>
      <w:pPr>
        <w:spacing w:line="440" w:lineRule="exact"/>
        <w:ind w:firstLine="420" w:firstLineChars="200"/>
        <w:rPr>
          <w:rFonts w:ascii="宋体" w:hAnsi="宋体" w:cs="宋体"/>
          <w:color w:val="auto"/>
          <w:szCs w:val="21"/>
          <w:highlight w:val="none"/>
        </w:rPr>
      </w:pP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标项一</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标项名称：广西农药数字监管平台运维服务</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数量：1</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预算金额（元）：83900</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简要规格描述或项目基本概况介绍、用途：广西农药数字监管平台运维服务项目一项，具体详见项目采购需求。</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最高限价（如有）：83900</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合同履约期限：自合同签订之日起1年</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本标项（否）接受联合体投标</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备注：本标项允许兼投兼中。供应商可以同时参与多个标项的竞标，并且可以同时中标多个标项</w:t>
      </w:r>
    </w:p>
    <w:p>
      <w:pPr>
        <w:spacing w:line="440" w:lineRule="exact"/>
        <w:ind w:firstLine="422" w:firstLineChars="200"/>
        <w:rPr>
          <w:rFonts w:ascii="宋体" w:hAnsi="宋体" w:cs="宋体"/>
          <w:b/>
          <w:color w:val="auto"/>
          <w:szCs w:val="21"/>
          <w:highlight w:val="none"/>
        </w:rPr>
      </w:pP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标项二</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标项名称：广西农业农村厅协同办公系统平台运维服务</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数量：1</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预算金额（元）：99300</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简要规格描述或项目基本概况介绍、用途：广西农业农村厅协同办公系统平台运维服务一项，具体详见项目采购需求。</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最高限价（如有）：99300</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合同履约期限：自合同签订之日起一年</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本标项（否）接受联合体投标</w:t>
      </w:r>
    </w:p>
    <w:p>
      <w:pPr>
        <w:spacing w:line="44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备注：本标项允许兼投兼中。供应商可以同时参与多个标项的竞标，并且可以同时中标多个标项</w:t>
      </w:r>
    </w:p>
    <w:p>
      <w:pPr>
        <w:spacing w:line="440" w:lineRule="exact"/>
        <w:ind w:firstLine="422" w:firstLineChars="200"/>
        <w:rPr>
          <w:rFonts w:ascii="宋体" w:hAnsi="宋体" w:cs="宋体"/>
          <w:b/>
          <w:bCs/>
          <w:color w:val="auto"/>
          <w:szCs w:val="21"/>
          <w:highlight w:val="none"/>
        </w:rPr>
      </w:pP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标项三</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标项名称：广西农产品产销价格监测预警系统运维及数据采集服务</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数量：1</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预算金额（元）：638800</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简要规格描述或项目基本概况介绍、用途：广西农产品产销价格监测预警系统运维及数据采集服务项目一项，具体详见项目采购需求。</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最高限价（如有）：638800</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合同履约期限：2025年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月28日—2026年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月27日</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本标项（否）接受联合体投标</w:t>
      </w:r>
    </w:p>
    <w:p>
      <w:pPr>
        <w:spacing w:line="44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备注：本标项允许兼投兼中。供应商可以同时参与多个标项的竞标，并且可以同时中标多个标项</w:t>
      </w:r>
    </w:p>
    <w:p>
      <w:pPr>
        <w:spacing w:line="440" w:lineRule="exact"/>
        <w:ind w:firstLine="422" w:firstLineChars="200"/>
        <w:rPr>
          <w:rFonts w:ascii="宋体" w:hAnsi="宋体" w:cs="宋体"/>
          <w:b/>
          <w:color w:val="auto"/>
          <w:szCs w:val="21"/>
          <w:highlight w:val="none"/>
        </w:rPr>
      </w:pP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标项四</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标项名称：</w:t>
      </w:r>
      <w:bookmarkStart w:id="6" w:name="OLE_LINK3"/>
      <w:r>
        <w:rPr>
          <w:rFonts w:hint="eastAsia" w:ascii="宋体" w:hAnsi="宋体" w:cs="宋体"/>
          <w:color w:val="auto"/>
          <w:szCs w:val="21"/>
          <w:highlight w:val="none"/>
        </w:rPr>
        <w:t>广西农情信息管理系统运维服务</w:t>
      </w:r>
      <w:bookmarkEnd w:id="6"/>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数量：1</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预算金额（元）：118900</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简要规格描述或项目基本概况介绍、用途：广西农情信息管理系统运维服务项目一项，具体详见项目采购需求。</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最高限价（如有）：118900</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合同履约期限：2025年7月</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日—2026年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日</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本标项（否）接受联合体投标</w:t>
      </w:r>
    </w:p>
    <w:p>
      <w:pPr>
        <w:spacing w:line="44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备注：本标项允许兼投兼中。供应商可以同时参与多个标项的竞标，并且可以同时中标多个标项</w:t>
      </w:r>
    </w:p>
    <w:p>
      <w:pPr>
        <w:spacing w:line="440" w:lineRule="exact"/>
        <w:ind w:firstLine="422" w:firstLineChars="200"/>
        <w:rPr>
          <w:rFonts w:ascii="宋体" w:hAnsi="宋体" w:cs="宋体"/>
          <w:b/>
          <w:bCs/>
          <w:color w:val="auto"/>
          <w:szCs w:val="21"/>
          <w:highlight w:val="none"/>
        </w:rPr>
      </w:pP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标项五</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标项名称：广西农业自然灾害预警监控系统运维服务</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数量：1</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预算金额（元）：98900</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简要规格描述或项目基本概况介绍、用途：广西农业自然灾害预警监控系统运维服务项目一项，具体详见项目采购需求。</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最高限价（如有）：98900</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合同履约期限：2025年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日—2026年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日</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本标项（否）接受联合体投标</w:t>
      </w:r>
    </w:p>
    <w:p>
      <w:pPr>
        <w:spacing w:line="44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备注：本标项允许兼投兼中。供应商可以同时参与多个标项的竞标，并且可以同时中标多个标项</w:t>
      </w:r>
    </w:p>
    <w:p>
      <w:pPr>
        <w:spacing w:line="440" w:lineRule="exact"/>
        <w:ind w:firstLine="422" w:firstLineChars="200"/>
        <w:rPr>
          <w:rFonts w:ascii="宋体" w:hAnsi="宋体" w:cs="宋体"/>
          <w:b/>
          <w:color w:val="auto"/>
          <w:szCs w:val="21"/>
          <w:highlight w:val="none"/>
        </w:rPr>
      </w:pP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标项六</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标项名称：</w:t>
      </w:r>
      <w:r>
        <w:rPr>
          <w:rFonts w:hint="eastAsia" w:ascii="宋体" w:hAnsi="宋体" w:cs="宋体"/>
          <w:color w:val="auto"/>
          <w:szCs w:val="21"/>
          <w:highlight w:val="none"/>
          <w:lang w:eastAsia="zh-CN"/>
        </w:rPr>
        <w:t>广西壮族自治区</w:t>
      </w:r>
      <w:r>
        <w:rPr>
          <w:rFonts w:hint="eastAsia" w:ascii="宋体" w:hAnsi="宋体" w:cs="宋体"/>
          <w:color w:val="auto"/>
          <w:szCs w:val="21"/>
          <w:highlight w:val="none"/>
        </w:rPr>
        <w:t>粮食生产功能区管理平台运维服务（2025年度）</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数量：1</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预算金额（元）：83900</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简要规格描述或项目基本概况介绍、用途：</w:t>
      </w:r>
      <w:r>
        <w:rPr>
          <w:rFonts w:hint="eastAsia" w:ascii="宋体" w:hAnsi="宋体" w:cs="宋体"/>
          <w:color w:val="auto"/>
          <w:szCs w:val="21"/>
          <w:highlight w:val="none"/>
          <w:lang w:eastAsia="zh-CN"/>
        </w:rPr>
        <w:t>广西壮族自治区</w:t>
      </w:r>
      <w:r>
        <w:rPr>
          <w:rFonts w:hint="eastAsia" w:ascii="宋体" w:hAnsi="宋体" w:cs="宋体"/>
          <w:color w:val="auto"/>
          <w:szCs w:val="21"/>
          <w:highlight w:val="none"/>
        </w:rPr>
        <w:t>粮食生产功能区管理平台运维服务（2025年度）一项，具体详见项目采购需求。</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最高限价（如有）：83900</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合同履约期限：</w:t>
      </w:r>
      <w:r>
        <w:rPr>
          <w:rFonts w:hint="eastAsia" w:ascii="宋体" w:hAnsi="宋体" w:cs="宋体"/>
          <w:color w:val="auto"/>
          <w:szCs w:val="21"/>
          <w:highlight w:val="none"/>
          <w:lang w:val="zh-CN"/>
        </w:rPr>
        <w:t>自合同签订之日起一年</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本标项（否）接受联合体投标</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备注：本标项允许兼投兼中。供应商可以同时参与多个标项的竞标，并且可以同时中标多个标项</w:t>
      </w:r>
    </w:p>
    <w:p>
      <w:pPr>
        <w:spacing w:line="440" w:lineRule="exact"/>
        <w:ind w:firstLine="422" w:firstLineChars="200"/>
        <w:rPr>
          <w:rFonts w:ascii="宋体" w:hAnsi="宋体" w:cs="宋体"/>
          <w:b/>
          <w:color w:val="auto"/>
          <w:szCs w:val="21"/>
          <w:highlight w:val="none"/>
        </w:rPr>
      </w:pP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标项七</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标项名称：网络安全等级保护测评和商用密码应用安全性评估服务</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数量：1</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预算金额（元）：140000</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简要规格描述或项目基本概况介绍、用途：网络安全等级保护测评和商用密码应用安全性评估服务一项，具体详见项目采购需求。</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最高限价（如有）：140000</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合同履约期限：自接到采购人进场通知之日起50个工作日内完成广西农村土地承包经营权确权登记管理信息系统自治区级平台网络安全等级保护测评和商用密码应用安全性评估工作，并出具相应的报告</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本标项（否）接受联合体投标</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备注：本标项允许兼投兼中。供应商可以同时参与多个标项的竞标，并且可以同时中标多个标项</w:t>
      </w:r>
    </w:p>
    <w:p>
      <w:pPr>
        <w:spacing w:line="44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二、申请人的资格要求：</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2.落实政府采购政策需满足的资格要求：</w:t>
      </w:r>
      <w:r>
        <w:rPr>
          <w:rFonts w:hint="eastAsia" w:ascii="宋体" w:hAnsi="宋体" w:cs="宋体"/>
          <w:b/>
          <w:bCs/>
          <w:color w:val="auto"/>
          <w:szCs w:val="21"/>
          <w:highlight w:val="none"/>
        </w:rPr>
        <w:t>标项二</w:t>
      </w:r>
      <w:bookmarkStart w:id="7" w:name="OLE_LINK5"/>
      <w:r>
        <w:rPr>
          <w:rFonts w:hint="eastAsia" w:ascii="宋体" w:hAnsi="宋体" w:cs="宋体"/>
          <w:b/>
          <w:bCs/>
          <w:color w:val="auto"/>
          <w:szCs w:val="21"/>
          <w:highlight w:val="none"/>
          <w:lang w:eastAsia="zh-CN"/>
        </w:rPr>
        <w:t>、标项三、标项五</w:t>
      </w:r>
      <w:bookmarkEnd w:id="7"/>
      <w:r>
        <w:rPr>
          <w:rFonts w:hint="eastAsia" w:ascii="宋体" w:hAnsi="宋体" w:cs="宋体"/>
          <w:color w:val="auto"/>
          <w:szCs w:val="21"/>
          <w:highlight w:val="none"/>
        </w:rPr>
        <w:t>为专门面向小微企业采购的项目（供应商应为小微企业、监狱企业、残疾人福利性单位），</w:t>
      </w:r>
      <w:r>
        <w:rPr>
          <w:rFonts w:hint="eastAsia" w:ascii="宋体" w:hAnsi="宋体" w:cs="宋体"/>
          <w:b/>
          <w:bCs/>
          <w:color w:val="auto"/>
          <w:szCs w:val="21"/>
          <w:highlight w:val="none"/>
        </w:rPr>
        <w:t>标项七</w:t>
      </w:r>
      <w:r>
        <w:rPr>
          <w:rFonts w:hint="eastAsia" w:ascii="宋体" w:hAnsi="宋体" w:cs="宋体"/>
          <w:color w:val="auto"/>
          <w:szCs w:val="21"/>
          <w:highlight w:val="none"/>
        </w:rPr>
        <w:t>为专门面向中小企业采购的项目（供应商应为中小微企业、监狱企业、残疾人福利性单位），</w:t>
      </w:r>
      <w:r>
        <w:rPr>
          <w:rFonts w:hint="eastAsia" w:ascii="宋体" w:hAnsi="宋体" w:cs="宋体"/>
          <w:b/>
          <w:bCs/>
          <w:color w:val="auto"/>
          <w:szCs w:val="21"/>
          <w:highlight w:val="none"/>
        </w:rPr>
        <w:t>标项一、标项四、标项六</w:t>
      </w:r>
      <w:r>
        <w:rPr>
          <w:rFonts w:hint="eastAsia" w:ascii="宋体" w:hAnsi="宋体" w:cs="宋体"/>
          <w:color w:val="auto"/>
          <w:szCs w:val="21"/>
          <w:highlight w:val="none"/>
        </w:rPr>
        <w:t>无要求；</w:t>
      </w:r>
    </w:p>
    <w:p>
      <w:pPr>
        <w:spacing w:line="440" w:lineRule="exact"/>
        <w:ind w:firstLine="420" w:firstLineChars="200"/>
        <w:rPr>
          <w:rFonts w:ascii="宋体" w:hAnsi="宋体" w:cs="宋体"/>
          <w:iCs/>
          <w:color w:val="auto"/>
          <w:szCs w:val="21"/>
          <w:highlight w:val="none"/>
          <w:u w:val="single"/>
        </w:rPr>
      </w:pPr>
      <w:r>
        <w:rPr>
          <w:rFonts w:hint="eastAsia" w:ascii="宋体" w:hAnsi="宋体" w:cs="宋体"/>
          <w:color w:val="auto"/>
          <w:szCs w:val="21"/>
          <w:highlight w:val="none"/>
        </w:rPr>
        <w:t>3.本项目的特定资格要求：</w:t>
      </w:r>
      <w:r>
        <w:rPr>
          <w:rFonts w:hint="eastAsia" w:ascii="宋体" w:hAnsi="宋体" w:cs="宋体"/>
          <w:b/>
          <w:bCs/>
          <w:color w:val="auto"/>
          <w:szCs w:val="21"/>
          <w:highlight w:val="none"/>
        </w:rPr>
        <w:t>标项七</w:t>
      </w:r>
      <w:r>
        <w:rPr>
          <w:rFonts w:hint="eastAsia" w:ascii="宋体" w:hAnsi="宋体" w:cs="宋体"/>
          <w:color w:val="auto"/>
          <w:szCs w:val="21"/>
          <w:highlight w:val="none"/>
        </w:rPr>
        <w:t>供应商必须具备公安部第三研究所颁发的《网络安全服务认证证书等级保护测评服务认证》，且必须具备国家密码管理局颁发的《商用密码检测机构资质证书》；</w:t>
      </w:r>
    </w:p>
    <w:p>
      <w:pPr>
        <w:spacing w:line="440" w:lineRule="exact"/>
        <w:ind w:firstLine="422" w:firstLineChars="200"/>
        <w:rPr>
          <w:rFonts w:ascii="宋体" w:hAnsi="宋体" w:cs="宋体"/>
          <w:iCs/>
          <w:color w:val="auto"/>
          <w:szCs w:val="21"/>
          <w:highlight w:val="none"/>
          <w:u w:val="single"/>
        </w:rPr>
      </w:pPr>
      <w:r>
        <w:rPr>
          <w:rFonts w:hint="eastAsia" w:ascii="宋体" w:hAnsi="宋体" w:cs="宋体"/>
          <w:b/>
          <w:color w:val="auto"/>
          <w:szCs w:val="21"/>
          <w:highlight w:val="none"/>
        </w:rPr>
        <w:t>三、获取采购文件</w:t>
      </w:r>
    </w:p>
    <w:p>
      <w:pPr>
        <w:spacing w:line="440" w:lineRule="exact"/>
        <w:ind w:firstLine="540"/>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bCs/>
          <w:color w:val="auto"/>
          <w:szCs w:val="21"/>
          <w:highlight w:val="none"/>
        </w:rPr>
        <w:t>2025年</w:t>
      </w:r>
      <w:r>
        <w:rPr>
          <w:rFonts w:hint="eastAsia" w:ascii="宋体" w:hAnsi="宋体" w:cs="宋体"/>
          <w:bCs/>
          <w:color w:val="auto"/>
          <w:szCs w:val="21"/>
          <w:highlight w:val="none"/>
          <w:lang w:val="en-US" w:eastAsia="zh-CN"/>
        </w:rPr>
        <w:t>05</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16</w:t>
      </w:r>
      <w:r>
        <w:rPr>
          <w:rFonts w:hint="eastAsia" w:ascii="宋体" w:hAnsi="宋体" w:cs="宋体"/>
          <w:bCs/>
          <w:color w:val="auto"/>
          <w:szCs w:val="21"/>
          <w:highlight w:val="none"/>
        </w:rPr>
        <w:t>日至2025年</w:t>
      </w:r>
      <w:r>
        <w:rPr>
          <w:rFonts w:hint="eastAsia" w:ascii="宋体" w:hAnsi="宋体" w:cs="宋体"/>
          <w:bCs/>
          <w:color w:val="auto"/>
          <w:szCs w:val="21"/>
          <w:highlight w:val="none"/>
          <w:lang w:val="en-US" w:eastAsia="zh-CN"/>
        </w:rPr>
        <w:t>05</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23</w:t>
      </w:r>
      <w:r>
        <w:rPr>
          <w:rFonts w:hint="eastAsia" w:ascii="宋体" w:hAnsi="宋体" w:cs="宋体"/>
          <w:bCs/>
          <w:color w:val="auto"/>
          <w:szCs w:val="21"/>
          <w:highlight w:val="none"/>
        </w:rPr>
        <w:t>日，每天上午00:00至12:00，下午12:00至23:59（北京时间，法定节假日除外）</w:t>
      </w:r>
      <w:r>
        <w:rPr>
          <w:rFonts w:hint="eastAsia" w:ascii="宋体" w:hAnsi="宋体" w:cs="宋体"/>
          <w:color w:val="auto"/>
          <w:szCs w:val="21"/>
          <w:highlight w:val="none"/>
        </w:rPr>
        <w:t>。</w:t>
      </w:r>
    </w:p>
    <w:p>
      <w:pPr>
        <w:spacing w:line="440" w:lineRule="exact"/>
        <w:ind w:firstLine="540"/>
        <w:rPr>
          <w:rFonts w:ascii="宋体" w:hAnsi="宋体" w:cs="宋体"/>
          <w:color w:val="auto"/>
          <w:szCs w:val="21"/>
          <w:highlight w:val="none"/>
        </w:rPr>
      </w:pPr>
      <w:r>
        <w:rPr>
          <w:rFonts w:hint="eastAsia" w:ascii="宋体" w:hAnsi="宋体" w:cs="宋体"/>
          <w:color w:val="auto"/>
          <w:szCs w:val="21"/>
          <w:highlight w:val="none"/>
        </w:rPr>
        <w:t>地点（网址）：广西政府采购云平台线上获取。</w:t>
      </w:r>
    </w:p>
    <w:p>
      <w:pPr>
        <w:wordWrap w:val="0"/>
        <w:spacing w:line="440" w:lineRule="exact"/>
        <w:ind w:firstLine="539"/>
        <w:rPr>
          <w:rFonts w:ascii="宋体" w:hAnsi="宋体" w:cs="宋体"/>
          <w:color w:val="auto"/>
          <w:szCs w:val="21"/>
          <w:highlight w:val="none"/>
        </w:rPr>
      </w:pPr>
      <w:r>
        <w:rPr>
          <w:rFonts w:hint="eastAsia" w:ascii="宋体" w:hAnsi="宋体" w:cs="宋体"/>
          <w:color w:val="auto"/>
          <w:szCs w:val="21"/>
          <w:highlight w:val="none"/>
        </w:rPr>
        <w:t xml:space="preserve">方式：网上下载。本项目不发放纸质文件，供应商登录广西政府采购云平台https://www.gcy.zfcg.gxzf.gov.cn/在线申请获取采购文件（进入“项目采购”应用，在获取采购文件菜单中选择项目，申请获取采购文件） </w:t>
      </w:r>
    </w:p>
    <w:p>
      <w:pPr>
        <w:spacing w:line="440" w:lineRule="exact"/>
        <w:ind w:firstLine="540"/>
        <w:rPr>
          <w:rFonts w:ascii="宋体" w:hAnsi="宋体" w:cs="宋体"/>
          <w:color w:val="auto"/>
          <w:szCs w:val="21"/>
          <w:highlight w:val="none"/>
        </w:rPr>
      </w:pPr>
      <w:r>
        <w:rPr>
          <w:rFonts w:hint="eastAsia" w:ascii="宋体" w:hAnsi="宋体" w:cs="宋体"/>
          <w:color w:val="auto"/>
          <w:szCs w:val="21"/>
          <w:highlight w:val="none"/>
        </w:rPr>
        <w:t>售价（元）：0</w:t>
      </w:r>
    </w:p>
    <w:p>
      <w:pPr>
        <w:spacing w:line="440" w:lineRule="exact"/>
        <w:ind w:firstLine="540"/>
        <w:rPr>
          <w:rFonts w:ascii="宋体" w:hAnsi="宋体" w:cs="宋体"/>
          <w:color w:val="auto"/>
          <w:szCs w:val="21"/>
          <w:highlight w:val="none"/>
        </w:rPr>
      </w:pPr>
      <w:r>
        <w:rPr>
          <w:rFonts w:hint="eastAsia" w:ascii="宋体" w:hAnsi="宋体" w:cs="宋体"/>
          <w:b/>
          <w:color w:val="auto"/>
          <w:szCs w:val="21"/>
          <w:highlight w:val="none"/>
        </w:rPr>
        <w:t>四、响应文件提交</w:t>
      </w:r>
    </w:p>
    <w:p>
      <w:pPr>
        <w:spacing w:line="440" w:lineRule="exact"/>
        <w:ind w:firstLine="540"/>
        <w:rPr>
          <w:rFonts w:ascii="宋体" w:hAnsi="宋体" w:cs="宋体"/>
          <w:color w:val="auto"/>
          <w:szCs w:val="21"/>
          <w:highlight w:val="none"/>
        </w:rPr>
      </w:pPr>
      <w:r>
        <w:rPr>
          <w:rFonts w:hint="eastAsia" w:ascii="宋体" w:hAnsi="宋体" w:cs="宋体"/>
          <w:color w:val="auto"/>
          <w:szCs w:val="21"/>
          <w:highlight w:val="none"/>
        </w:rPr>
        <w:t>截止时间：2025年</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日 09:30（北京时间）</w:t>
      </w:r>
    </w:p>
    <w:p>
      <w:pPr>
        <w:spacing w:line="440" w:lineRule="exact"/>
        <w:ind w:firstLine="540"/>
        <w:rPr>
          <w:rFonts w:ascii="宋体" w:hAnsi="宋体" w:cs="宋体"/>
          <w:color w:val="auto"/>
          <w:szCs w:val="21"/>
          <w:highlight w:val="none"/>
        </w:rPr>
      </w:pPr>
      <w:r>
        <w:rPr>
          <w:rFonts w:hint="eastAsia" w:ascii="宋体" w:hAnsi="宋体" w:cs="宋体"/>
          <w:color w:val="auto"/>
          <w:szCs w:val="21"/>
          <w:highlight w:val="none"/>
        </w:rPr>
        <w:t>地点（网址）：请登录广西政府采购云平台投标客户端投标。</w:t>
      </w:r>
    </w:p>
    <w:p>
      <w:pPr>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五、响应文件开启</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开启时间：2025年</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日 09:30（北京时间）</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地点：广西政府采购云平台开标大厅</w:t>
      </w:r>
    </w:p>
    <w:p>
      <w:pPr>
        <w:spacing w:line="440" w:lineRule="exact"/>
        <w:ind w:firstLine="422" w:firstLineChars="200"/>
        <w:rPr>
          <w:rFonts w:ascii="宋体" w:hAnsi="宋体" w:cs="宋体"/>
          <w:bCs/>
          <w:color w:val="auto"/>
          <w:szCs w:val="21"/>
          <w:highlight w:val="none"/>
          <w:u w:val="single"/>
        </w:rPr>
      </w:pPr>
      <w:r>
        <w:rPr>
          <w:rFonts w:hint="eastAsia" w:ascii="宋体" w:hAnsi="宋体" w:cs="宋体"/>
          <w:b/>
          <w:color w:val="auto"/>
          <w:szCs w:val="21"/>
          <w:highlight w:val="none"/>
        </w:rPr>
        <w:t>六、公告期限</w:t>
      </w:r>
    </w:p>
    <w:p>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pPr>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七、其他补充事宜</w:t>
      </w:r>
    </w:p>
    <w:p>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1.本项目需要落实的政府采购政策：</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（1）政府采购促进中小企业发展。</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（2）政府采购促进残疾人就业政策。</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（3）政府采购支持监狱企业发展。</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（4）政府采购支持采用本国产品的政策。</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（5）强制采购节能产品；优先采购节能产品、环境标志产品。</w:t>
      </w:r>
    </w:p>
    <w:p>
      <w:pPr>
        <w:pStyle w:val="23"/>
        <w:spacing w:line="440" w:lineRule="exact"/>
        <w:ind w:firstLine="420" w:firstLineChars="200"/>
        <w:rPr>
          <w:rFonts w:hAnsi="宋体" w:cs="宋体"/>
          <w:color w:val="auto"/>
          <w:sz w:val="21"/>
          <w:highlight w:val="none"/>
        </w:rPr>
      </w:pPr>
      <w:r>
        <w:rPr>
          <w:rFonts w:hint="eastAsia" w:hAnsi="宋体" w:cs="宋体"/>
          <w:color w:val="auto"/>
          <w:sz w:val="21"/>
          <w:highlight w:val="none"/>
        </w:rPr>
        <w:t>2.参加政府采购活动前三年内，在经营活动中没有重大违法记录和不良信用记录，被列入失信被执行人、重大税收违法案件当事人名单、政府采购严重违法失信行为记录名单及其他不符合《中华人民共和国政府采购法》第二十二条规定条件的供应商，将被拒绝其参与本次政府采购活动；</w:t>
      </w:r>
    </w:p>
    <w:p>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pStyle w:val="23"/>
        <w:spacing w:line="440" w:lineRule="exact"/>
        <w:ind w:firstLine="420" w:firstLineChars="200"/>
        <w:rPr>
          <w:rFonts w:hAnsi="宋体" w:cs="宋体"/>
          <w:color w:val="auto"/>
          <w:sz w:val="21"/>
          <w:highlight w:val="none"/>
        </w:rPr>
      </w:pPr>
      <w:r>
        <w:rPr>
          <w:rFonts w:hint="eastAsia" w:hAnsi="宋体" w:cs="宋体"/>
          <w:color w:val="auto"/>
          <w:sz w:val="21"/>
          <w:highlight w:val="none"/>
        </w:rPr>
        <w:t>4.公告发布媒介：</w:t>
      </w:r>
    </w:p>
    <w:p>
      <w:pPr>
        <w:pStyle w:val="23"/>
        <w:spacing w:line="440" w:lineRule="exact"/>
        <w:ind w:firstLine="400" w:firstLineChars="200"/>
        <w:rPr>
          <w:rFonts w:hAnsi="宋体" w:cs="宋体"/>
          <w:color w:val="auto"/>
          <w:sz w:val="21"/>
          <w:highlight w:val="none"/>
        </w:rPr>
      </w:pPr>
      <w:r>
        <w:rPr>
          <w:color w:val="auto"/>
          <w:highlight w:val="none"/>
        </w:rPr>
        <w:fldChar w:fldCharType="begin"/>
      </w:r>
      <w:r>
        <w:rPr>
          <w:color w:val="auto"/>
          <w:highlight w:val="none"/>
        </w:rPr>
        <w:instrText xml:space="preserve"> HYPERLINK "http://www.ccgp.gov.cn（中国政府采购网）、http:/zfcg.gxzf.gov.cn（广西壮族自治区政府采购网）" </w:instrText>
      </w:r>
      <w:r>
        <w:rPr>
          <w:color w:val="auto"/>
          <w:highlight w:val="none"/>
        </w:rPr>
        <w:fldChar w:fldCharType="separate"/>
      </w:r>
      <w:r>
        <w:rPr>
          <w:rFonts w:hint="eastAsia" w:hAnsi="宋体" w:cs="宋体"/>
          <w:color w:val="auto"/>
          <w:sz w:val="21"/>
          <w:highlight w:val="none"/>
        </w:rPr>
        <w:t>http://www.ccgp.gov.cn（中国政府采购网）、http://zfcg.gxzf.gov.cn（广西壮族自治区政府采购网）</w:t>
      </w:r>
      <w:r>
        <w:rPr>
          <w:rFonts w:hint="eastAsia" w:hAnsi="宋体" w:cs="宋体"/>
          <w:color w:val="auto"/>
          <w:sz w:val="21"/>
          <w:highlight w:val="none"/>
        </w:rPr>
        <w:fldChar w:fldCharType="end"/>
      </w:r>
    </w:p>
    <w:p>
      <w:pPr>
        <w:pStyle w:val="23"/>
        <w:spacing w:line="440" w:lineRule="exact"/>
        <w:ind w:firstLine="420" w:firstLineChars="200"/>
        <w:rPr>
          <w:rFonts w:hAnsi="宋体" w:cs="宋体"/>
          <w:color w:val="auto"/>
          <w:sz w:val="21"/>
          <w:highlight w:val="none"/>
        </w:rPr>
      </w:pPr>
      <w:r>
        <w:rPr>
          <w:rFonts w:hint="eastAsia" w:hAnsi="宋体" w:cs="宋体"/>
          <w:color w:val="auto"/>
          <w:sz w:val="21"/>
          <w:highlight w:val="none"/>
        </w:rPr>
        <w:t>5、广西政府采购云平台电子投标相关事宜：</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本项目为全流程电子化采购项目，通过“广西政府采购云平台”（https://www.gcy.zfcg.gxzf.gov.cn/）实行在线电子竞标，供应商应先安装“广西政府采购云平台客户端”（请自行前往“广西政府采购网—办事服务—下载专区”进行下载），并按照本项目竞争性磋商文件和“广西政府采购云平台”的要求编制、加密后在提交响应文件截止时间前通过网络上传至 “广西政府采购云平台”，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w:t>
      </w:r>
      <w:r>
        <w:rPr>
          <w:rFonts w:hint="eastAsia" w:ascii="宋体" w:hAnsi="宋体" w:cs="宋体"/>
          <w:color w:val="auto"/>
          <w:szCs w:val="21"/>
          <w:highlight w:val="none"/>
          <w:lang w:eastAsia="zh-CN"/>
        </w:rPr>
        <w:t>登录</w:t>
      </w:r>
      <w:r>
        <w:rPr>
          <w:rFonts w:hint="eastAsia" w:ascii="宋体" w:hAnsi="宋体" w:cs="宋体"/>
          <w:color w:val="auto"/>
          <w:szCs w:val="21"/>
          <w:highlight w:val="none"/>
        </w:rPr>
        <w:t>“广西政府采购云平台”，依次进入“服务中心-入驻与配置”中查看CA数字证书办理操作流程。如在操作过程中遇到问题或者需要技术支持，请致电广西政府采购云客服热线：95763）。</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（4）供应商需要在具备有摄像头及语音功能且互联网网络状况良好的电脑登录“广西政府采购云平台”远程开标大厅参与本次磋商，否则后果自负。</w:t>
      </w:r>
    </w:p>
    <w:p>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 xml:space="preserve">  </w:t>
      </w:r>
      <w:r>
        <w:rPr>
          <w:rFonts w:hint="eastAsia" w:ascii="宋体" w:hAnsi="宋体" w:cs="宋体"/>
          <w:b/>
          <w:color w:val="auto"/>
          <w:szCs w:val="21"/>
          <w:highlight w:val="none"/>
        </w:rPr>
        <w:t>八、对本次招标提出询问，请按以下方式联系。</w:t>
      </w:r>
    </w:p>
    <w:p>
      <w:pPr>
        <w:widowControl/>
        <w:spacing w:line="440" w:lineRule="exact"/>
        <w:ind w:firstLine="465"/>
        <w:jc w:val="left"/>
        <w:rPr>
          <w:rFonts w:ascii="宋体" w:hAnsi="宋体" w:cs="宋体"/>
          <w:color w:val="auto"/>
          <w:szCs w:val="21"/>
          <w:highlight w:val="none"/>
        </w:rPr>
      </w:pPr>
      <w:r>
        <w:rPr>
          <w:rFonts w:hint="eastAsia" w:ascii="宋体" w:hAnsi="宋体" w:cs="宋体"/>
          <w:color w:val="auto"/>
          <w:szCs w:val="21"/>
          <w:highlight w:val="none"/>
        </w:rPr>
        <w:t>1.采购人信息</w:t>
      </w:r>
    </w:p>
    <w:p>
      <w:pPr>
        <w:widowControl/>
        <w:spacing w:line="440" w:lineRule="exact"/>
        <w:ind w:firstLine="465"/>
        <w:jc w:val="left"/>
        <w:rPr>
          <w:rFonts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color w:val="auto"/>
          <w:szCs w:val="21"/>
          <w:highlight w:val="none"/>
          <w:u w:val="single"/>
        </w:rPr>
        <w:t>　</w:t>
      </w:r>
      <w:r>
        <w:rPr>
          <w:rFonts w:hint="eastAsia" w:ascii="宋体" w:hAnsi="宋体" w:cs="宋体"/>
          <w:color w:val="auto"/>
          <w:szCs w:val="21"/>
          <w:highlight w:val="none"/>
          <w:u w:val="single"/>
          <w:lang w:eastAsia="zh-CN"/>
        </w:rPr>
        <w:t>广西壮族自治区农业信息中心</w:t>
      </w:r>
      <w:r>
        <w:rPr>
          <w:rFonts w:hint="eastAsia" w:ascii="宋体" w:hAnsi="宋体" w:cs="宋体"/>
          <w:color w:val="auto"/>
          <w:szCs w:val="21"/>
          <w:highlight w:val="none"/>
          <w:u w:val="single"/>
        </w:rPr>
        <w:t>　</w:t>
      </w:r>
    </w:p>
    <w:p>
      <w:pPr>
        <w:widowControl/>
        <w:spacing w:line="440" w:lineRule="exact"/>
        <w:ind w:firstLine="465"/>
        <w:jc w:val="left"/>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w:t>
      </w:r>
      <w:r>
        <w:rPr>
          <w:rFonts w:hint="eastAsia" w:ascii="宋体" w:hAnsi="宋体" w:cs="宋体"/>
          <w:color w:val="auto"/>
          <w:szCs w:val="21"/>
          <w:highlight w:val="none"/>
          <w:u w:val="single"/>
          <w:lang w:eastAsia="zh-CN"/>
        </w:rPr>
        <w:t>南宁市七星路135号</w:t>
      </w:r>
      <w:r>
        <w:rPr>
          <w:rFonts w:hint="eastAsia" w:ascii="宋体" w:hAnsi="宋体" w:cs="宋体"/>
          <w:color w:val="auto"/>
          <w:szCs w:val="21"/>
          <w:highlight w:val="none"/>
          <w:u w:val="single"/>
        </w:rPr>
        <w:t xml:space="preserve">　 </w:t>
      </w:r>
    </w:p>
    <w:p>
      <w:pPr>
        <w:widowControl/>
        <w:spacing w:line="440" w:lineRule="exact"/>
        <w:ind w:firstLine="465"/>
        <w:jc w:val="left"/>
        <w:rPr>
          <w:rFonts w:ascii="宋体" w:hAnsi="宋体" w:cs="宋体"/>
          <w:color w:val="auto"/>
          <w:szCs w:val="21"/>
          <w:highlight w:val="none"/>
        </w:rPr>
      </w:pPr>
      <w:r>
        <w:rPr>
          <w:rFonts w:hint="eastAsia" w:ascii="宋体" w:hAnsi="宋体" w:cs="宋体"/>
          <w:color w:val="auto"/>
          <w:szCs w:val="21"/>
          <w:highlight w:val="none"/>
        </w:rPr>
        <w:t>项目联系人：</w:t>
      </w:r>
      <w:r>
        <w:rPr>
          <w:rFonts w:hint="eastAsia" w:ascii="宋体" w:hAnsi="宋体" w:cs="宋体"/>
          <w:color w:val="auto"/>
          <w:szCs w:val="21"/>
          <w:highlight w:val="none"/>
          <w:u w:val="single"/>
        </w:rPr>
        <w:t xml:space="preserve">苏钰婷        </w:t>
      </w:r>
    </w:p>
    <w:p>
      <w:pPr>
        <w:widowControl/>
        <w:spacing w:line="440" w:lineRule="exact"/>
        <w:ind w:firstLine="465"/>
        <w:jc w:val="left"/>
        <w:rPr>
          <w:rFonts w:ascii="宋体" w:hAnsi="宋体" w:cs="宋体"/>
          <w:color w:val="auto"/>
          <w:szCs w:val="21"/>
          <w:highlight w:val="none"/>
        </w:rPr>
      </w:pPr>
      <w:r>
        <w:rPr>
          <w:rFonts w:hint="eastAsia" w:ascii="宋体" w:hAnsi="宋体" w:cs="宋体"/>
          <w:color w:val="auto"/>
          <w:szCs w:val="21"/>
          <w:highlight w:val="none"/>
        </w:rPr>
        <w:t>项目联系方式：</w:t>
      </w:r>
      <w:r>
        <w:rPr>
          <w:rFonts w:hint="eastAsia" w:ascii="宋体" w:hAnsi="宋体" w:cs="宋体"/>
          <w:color w:val="auto"/>
          <w:szCs w:val="21"/>
          <w:highlight w:val="none"/>
          <w:u w:val="single"/>
        </w:rPr>
        <w:t>0771-218</w:t>
      </w:r>
      <w:r>
        <w:rPr>
          <w:rFonts w:hint="eastAsia" w:ascii="宋体" w:hAnsi="宋体" w:cs="宋体"/>
          <w:color w:val="auto"/>
          <w:szCs w:val="21"/>
          <w:highlight w:val="none"/>
          <w:u w:val="single"/>
          <w:lang w:val="en-US" w:eastAsia="zh-CN"/>
        </w:rPr>
        <w:t>2852</w:t>
      </w:r>
      <w:r>
        <w:rPr>
          <w:rFonts w:hint="eastAsia" w:ascii="宋体" w:hAnsi="宋体" w:cs="宋体"/>
          <w:color w:val="auto"/>
          <w:szCs w:val="21"/>
          <w:highlight w:val="none"/>
          <w:u w:val="single"/>
        </w:rPr>
        <w:t xml:space="preserve">     </w:t>
      </w:r>
    </w:p>
    <w:p>
      <w:pPr>
        <w:widowControl/>
        <w:spacing w:line="440" w:lineRule="exact"/>
        <w:ind w:firstLine="465"/>
        <w:jc w:val="left"/>
        <w:rPr>
          <w:rFonts w:ascii="宋体" w:hAnsi="宋体" w:cs="宋体"/>
          <w:color w:val="auto"/>
          <w:szCs w:val="21"/>
          <w:highlight w:val="none"/>
        </w:rPr>
      </w:pPr>
      <w:r>
        <w:rPr>
          <w:rFonts w:hint="eastAsia" w:ascii="宋体" w:hAnsi="宋体" w:cs="宋体"/>
          <w:color w:val="auto"/>
          <w:szCs w:val="21"/>
          <w:highlight w:val="none"/>
        </w:rPr>
        <w:t>2.采购代理机构信息</w:t>
      </w:r>
    </w:p>
    <w:p>
      <w:pPr>
        <w:widowControl/>
        <w:spacing w:line="440" w:lineRule="exact"/>
        <w:ind w:firstLine="465"/>
        <w:jc w:val="left"/>
        <w:rPr>
          <w:rFonts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color w:val="auto"/>
          <w:szCs w:val="21"/>
          <w:highlight w:val="none"/>
          <w:u w:val="single"/>
        </w:rPr>
        <w:t>　广西德元工程项目管理有限责任公司　</w:t>
      </w:r>
    </w:p>
    <w:p>
      <w:pPr>
        <w:widowControl/>
        <w:spacing w:line="440" w:lineRule="exact"/>
        <w:ind w:firstLine="465"/>
        <w:jc w:val="left"/>
        <w:rPr>
          <w:rFonts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南宁市良庆区凯旋路15号绿地中心7号楼8楼　</w:t>
      </w:r>
    </w:p>
    <w:p>
      <w:pPr>
        <w:widowControl/>
        <w:spacing w:line="440" w:lineRule="exact"/>
        <w:ind w:firstLine="465"/>
        <w:jc w:val="left"/>
        <w:rPr>
          <w:rFonts w:ascii="宋体" w:hAnsi="宋体" w:cs="宋体"/>
          <w:color w:val="auto"/>
          <w:szCs w:val="21"/>
          <w:highlight w:val="none"/>
          <w:u w:val="single"/>
        </w:rPr>
      </w:pPr>
      <w:r>
        <w:rPr>
          <w:rFonts w:hint="eastAsia" w:ascii="宋体" w:hAnsi="宋体" w:cs="宋体"/>
          <w:color w:val="auto"/>
          <w:szCs w:val="21"/>
          <w:highlight w:val="none"/>
        </w:rPr>
        <w:t>项目联系人：</w:t>
      </w:r>
      <w:r>
        <w:rPr>
          <w:rFonts w:hint="eastAsia" w:ascii="宋体" w:hAnsi="宋体" w:cs="宋体"/>
          <w:color w:val="auto"/>
          <w:szCs w:val="21"/>
          <w:highlight w:val="none"/>
          <w:u w:val="single"/>
        </w:rPr>
        <w:t xml:space="preserve">　覃喜娟、黄清霞     </w:t>
      </w:r>
    </w:p>
    <w:p>
      <w:pPr>
        <w:widowControl/>
        <w:spacing w:line="440" w:lineRule="exact"/>
        <w:ind w:firstLine="465"/>
        <w:jc w:val="left"/>
        <w:rPr>
          <w:rFonts w:ascii="宋体" w:hAnsi="宋体" w:cs="宋体"/>
          <w:color w:val="auto"/>
          <w:szCs w:val="21"/>
          <w:highlight w:val="none"/>
          <w:u w:val="single"/>
        </w:rPr>
      </w:pPr>
      <w:r>
        <w:rPr>
          <w:rFonts w:hint="eastAsia" w:ascii="宋体" w:hAnsi="宋体" w:cs="宋体"/>
          <w:color w:val="auto"/>
          <w:szCs w:val="21"/>
          <w:highlight w:val="none"/>
        </w:rPr>
        <w:t>项目联系方式：</w:t>
      </w:r>
      <w:r>
        <w:rPr>
          <w:rFonts w:hint="eastAsia" w:ascii="宋体" w:hAnsi="宋体" w:cs="宋体"/>
          <w:color w:val="auto"/>
          <w:szCs w:val="21"/>
          <w:highlight w:val="none"/>
          <w:u w:val="single"/>
        </w:rPr>
        <w:t xml:space="preserve">　0771-5084767       </w:t>
      </w:r>
      <w:bookmarkStart w:id="8" w:name="_Toc88747292"/>
    </w:p>
    <w:p>
      <w:pPr>
        <w:pStyle w:val="4"/>
        <w:spacing w:line="440" w:lineRule="exact"/>
        <w:jc w:val="center"/>
        <w:rPr>
          <w:rFonts w:ascii="宋体" w:hAnsi="宋体" w:cs="宋体"/>
          <w:color w:val="auto"/>
          <w:sz w:val="32"/>
          <w:szCs w:val="32"/>
          <w:highlight w:val="none"/>
        </w:rPr>
        <w:sectPr>
          <w:footerReference r:id="rId4" w:type="default"/>
          <w:pgSz w:w="11906" w:h="16838"/>
          <w:pgMar w:top="1134" w:right="1247" w:bottom="1134" w:left="1247" w:header="851" w:footer="992" w:gutter="0"/>
          <w:pgNumType w:start="1"/>
          <w:cols w:space="720" w:num="1"/>
          <w:docGrid w:linePitch="312" w:charSpace="0"/>
        </w:sectPr>
      </w:pPr>
    </w:p>
    <w:p>
      <w:pPr>
        <w:pStyle w:val="4"/>
        <w:spacing w:line="44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第二章 供应商须知</w:t>
      </w:r>
      <w:bookmarkEnd w:id="8"/>
    </w:p>
    <w:tbl>
      <w:tblPr>
        <w:tblStyle w:val="41"/>
        <w:tblW w:w="905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53" w:type="dxa"/>
            <w:gridSpan w:val="2"/>
          </w:tcPr>
          <w:p>
            <w:pPr>
              <w:spacing w:before="120" w:beforeLines="50" w:line="440" w:lineRule="exact"/>
              <w:ind w:right="140" w:firstLine="200"/>
              <w:jc w:val="center"/>
              <w:rPr>
                <w:rFonts w:ascii="宋体" w:hAnsi="宋体" w:cs="宋体"/>
                <w:color w:val="auto"/>
                <w:sz w:val="28"/>
                <w:szCs w:val="28"/>
                <w:highlight w:val="none"/>
              </w:rPr>
            </w:pPr>
            <w:r>
              <w:rPr>
                <w:rFonts w:hint="eastAsia" w:ascii="宋体" w:hAnsi="宋体" w:cs="宋体"/>
                <w:color w:val="auto"/>
                <w:sz w:val="28"/>
                <w:szCs w:val="28"/>
                <w:highlight w:val="none"/>
              </w:rPr>
              <w:t>供应商须知前附表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8236" w:type="dxa"/>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8236" w:type="dxa"/>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项目名称：农情系统、自然灾害预警监控系统、农药数字监管平台、粮食功能区管理平台、协同办公系统运维、网络等保测评和商密应用安全评估服务、农产品价格监测预警系统运维及数据采集服务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8236" w:type="dxa"/>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供应商资格要求：</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2.落实政府采购政策需满足的资格要求：</w:t>
            </w:r>
            <w:r>
              <w:rPr>
                <w:rFonts w:hint="eastAsia" w:ascii="宋体" w:hAnsi="宋体" w:cs="宋体"/>
                <w:b/>
                <w:bCs/>
                <w:color w:val="auto"/>
                <w:szCs w:val="21"/>
                <w:highlight w:val="none"/>
              </w:rPr>
              <w:t>标项二</w:t>
            </w:r>
            <w:r>
              <w:rPr>
                <w:rFonts w:hint="eastAsia" w:ascii="宋体" w:hAnsi="宋体" w:cs="宋体"/>
                <w:b/>
                <w:bCs/>
                <w:color w:val="auto"/>
                <w:szCs w:val="21"/>
                <w:highlight w:val="none"/>
                <w:lang w:eastAsia="zh-CN"/>
              </w:rPr>
              <w:t>、标项三、标项五</w:t>
            </w:r>
            <w:r>
              <w:rPr>
                <w:rFonts w:hint="eastAsia" w:ascii="宋体" w:hAnsi="宋体" w:cs="宋体"/>
                <w:color w:val="auto"/>
                <w:szCs w:val="21"/>
                <w:highlight w:val="none"/>
              </w:rPr>
              <w:t>为专门面向小微企业采购的项目（供应商应为小微企业、监狱企业、残疾人福利性单位），</w:t>
            </w:r>
            <w:r>
              <w:rPr>
                <w:rFonts w:hint="eastAsia" w:ascii="宋体" w:hAnsi="宋体" w:cs="宋体"/>
                <w:b/>
                <w:bCs/>
                <w:color w:val="auto"/>
                <w:szCs w:val="21"/>
                <w:highlight w:val="none"/>
              </w:rPr>
              <w:t>标项七</w:t>
            </w:r>
            <w:r>
              <w:rPr>
                <w:rFonts w:hint="eastAsia" w:ascii="宋体" w:hAnsi="宋体" w:cs="宋体"/>
                <w:color w:val="auto"/>
                <w:szCs w:val="21"/>
                <w:highlight w:val="none"/>
              </w:rPr>
              <w:t>为专门面向中小企业采购的项目（供应商应为中小微企业、监狱企业、残疾人福利性单位），</w:t>
            </w:r>
            <w:r>
              <w:rPr>
                <w:rFonts w:hint="eastAsia" w:ascii="宋体" w:hAnsi="宋体" w:cs="宋体"/>
                <w:b/>
                <w:bCs/>
                <w:color w:val="auto"/>
                <w:szCs w:val="21"/>
                <w:highlight w:val="none"/>
              </w:rPr>
              <w:t>标项一、标项四、标项六</w:t>
            </w:r>
            <w:r>
              <w:rPr>
                <w:rFonts w:hint="eastAsia" w:ascii="宋体" w:hAnsi="宋体" w:cs="宋体"/>
                <w:color w:val="auto"/>
                <w:szCs w:val="21"/>
                <w:highlight w:val="none"/>
              </w:rPr>
              <w:t>无要求；</w:t>
            </w:r>
          </w:p>
          <w:p>
            <w:pPr>
              <w:spacing w:line="440" w:lineRule="exact"/>
              <w:ind w:firstLine="420" w:firstLineChars="200"/>
              <w:rPr>
                <w:rFonts w:ascii="宋体" w:hAnsi="宋体" w:cs="宋体"/>
                <w:iCs/>
                <w:color w:val="auto"/>
                <w:szCs w:val="21"/>
                <w:highlight w:val="none"/>
                <w:u w:val="single"/>
              </w:rPr>
            </w:pPr>
            <w:r>
              <w:rPr>
                <w:rFonts w:hint="eastAsia" w:ascii="宋体" w:hAnsi="宋体" w:cs="宋体"/>
                <w:color w:val="auto"/>
                <w:szCs w:val="21"/>
                <w:highlight w:val="none"/>
              </w:rPr>
              <w:t>3.本项目的特定资格要求：</w:t>
            </w:r>
            <w:r>
              <w:rPr>
                <w:rFonts w:hint="eastAsia" w:ascii="宋体" w:hAnsi="宋体" w:cs="宋体"/>
                <w:b/>
                <w:bCs/>
                <w:color w:val="auto"/>
                <w:szCs w:val="21"/>
                <w:highlight w:val="none"/>
              </w:rPr>
              <w:t>标项七</w:t>
            </w:r>
            <w:r>
              <w:rPr>
                <w:rFonts w:hint="eastAsia" w:ascii="宋体" w:hAnsi="宋体" w:cs="宋体"/>
                <w:color w:val="auto"/>
                <w:szCs w:val="21"/>
                <w:highlight w:val="none"/>
              </w:rPr>
              <w:t>供应商必须具备公安部第三研究所颁发的《网络安全服务认证证书等级保护测评服务认证》，且必须具备国家密码管理局颁发的《商用密码检测机构资质证书》</w:t>
            </w:r>
          </w:p>
          <w:p>
            <w:pPr>
              <w:pStyle w:val="23"/>
              <w:spacing w:line="440" w:lineRule="exact"/>
              <w:ind w:firstLine="420" w:firstLineChars="200"/>
              <w:rPr>
                <w:rFonts w:hAnsi="宋体" w:cs="宋体"/>
                <w:color w:val="auto"/>
                <w:sz w:val="21"/>
                <w:highlight w:val="none"/>
              </w:rPr>
            </w:pPr>
            <w:r>
              <w:rPr>
                <w:rFonts w:hint="eastAsia" w:hAnsi="宋体" w:cs="宋体"/>
                <w:color w:val="auto"/>
                <w:sz w:val="21"/>
                <w:highlight w:val="none"/>
              </w:rPr>
              <w:t>4.参加政府采购活动前三年内，在经营活动中没有重大违法记录和不良信用记录，被列入失信被执行人、重大税收违法案件当事人名单、政府采购严重违法失信行为记录名单及其他不符合《中华人民共和国政府采购法》第二十二条规定条件的供应商，将被拒绝其参与本次政府采购活动；</w:t>
            </w:r>
          </w:p>
          <w:p>
            <w:pPr>
              <w:pStyle w:val="23"/>
              <w:spacing w:line="440" w:lineRule="exact"/>
              <w:ind w:firstLine="420" w:firstLineChars="200"/>
              <w:rPr>
                <w:rFonts w:hAnsi="宋体" w:cs="宋体"/>
                <w:color w:val="auto"/>
                <w:sz w:val="24"/>
                <w:szCs w:val="24"/>
                <w:highlight w:val="none"/>
              </w:rPr>
            </w:pPr>
            <w:r>
              <w:rPr>
                <w:rFonts w:hint="eastAsia" w:hAnsi="宋体" w:cs="宋体"/>
                <w:color w:val="auto"/>
                <w:sz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8236" w:type="dxa"/>
            <w:vAlign w:val="center"/>
          </w:tcPr>
          <w:p>
            <w:pPr>
              <w:pStyle w:val="23"/>
              <w:spacing w:line="440" w:lineRule="exact"/>
              <w:rPr>
                <w:rFonts w:hAnsi="宋体" w:cs="宋体"/>
                <w:color w:val="auto"/>
                <w:sz w:val="21"/>
                <w:highlight w:val="none"/>
              </w:rPr>
            </w:pPr>
            <w:r>
              <w:rPr>
                <w:rFonts w:hint="eastAsia" w:hAnsi="宋体" w:cs="宋体"/>
                <w:color w:val="auto"/>
                <w:sz w:val="21"/>
                <w:highlight w:val="none"/>
              </w:rPr>
              <w:t xml:space="preserve">□本项目不收取磋商保证金。 </w:t>
            </w:r>
          </w:p>
          <w:p>
            <w:pPr>
              <w:pStyle w:val="23"/>
              <w:spacing w:line="440" w:lineRule="exact"/>
              <w:rPr>
                <w:rFonts w:hAnsi="宋体" w:cs="宋体"/>
                <w:color w:val="auto"/>
                <w:sz w:val="21"/>
                <w:highlight w:val="none"/>
              </w:rPr>
            </w:pPr>
            <w:r>
              <w:rPr>
                <w:rFonts w:hint="eastAsia" w:hAnsi="宋体" w:cs="宋体"/>
                <w:color w:val="auto"/>
                <w:sz w:val="21"/>
                <w:highlight w:val="none"/>
              </w:rPr>
              <w:t xml:space="preserve">☑本项目收取磋商保证金，具体规定如下： </w:t>
            </w:r>
          </w:p>
          <w:p>
            <w:pPr>
              <w:pStyle w:val="23"/>
              <w:spacing w:line="440" w:lineRule="exact"/>
              <w:rPr>
                <w:rFonts w:hAnsi="宋体" w:cs="宋体"/>
                <w:color w:val="auto"/>
                <w:highlight w:val="none"/>
              </w:rPr>
            </w:pPr>
            <w:r>
              <w:rPr>
                <w:rFonts w:hint="eastAsia" w:hAnsi="宋体" w:cs="宋体"/>
                <w:color w:val="auto"/>
                <w:sz w:val="21"/>
                <w:highlight w:val="none"/>
              </w:rPr>
              <w:t>磋商保证金：</w:t>
            </w:r>
            <w:r>
              <w:rPr>
                <w:rFonts w:hint="eastAsia" w:hAnsi="宋体" w:cs="宋体"/>
                <w:b/>
                <w:bCs/>
                <w:color w:val="auto"/>
                <w:sz w:val="21"/>
                <w:highlight w:val="none"/>
              </w:rPr>
              <w:t>标项一</w:t>
            </w:r>
            <w:r>
              <w:rPr>
                <w:rFonts w:hint="eastAsia" w:hAnsi="宋体" w:cs="宋体"/>
                <w:color w:val="auto"/>
                <w:sz w:val="21"/>
                <w:highlight w:val="none"/>
              </w:rPr>
              <w:t>人民币捌佰元整（￥800.00）</w:t>
            </w:r>
            <w:r>
              <w:rPr>
                <w:rStyle w:val="49"/>
                <w:rFonts w:hint="eastAsia" w:hAnsi="宋体" w:cs="宋体"/>
                <w:color w:val="auto"/>
                <w:highlight w:val="none"/>
              </w:rPr>
              <w:t>；</w:t>
            </w:r>
            <w:r>
              <w:rPr>
                <w:rFonts w:hint="eastAsia" w:hAnsi="宋体" w:cs="宋体"/>
                <w:b/>
                <w:bCs/>
                <w:color w:val="auto"/>
                <w:sz w:val="21"/>
                <w:highlight w:val="none"/>
              </w:rPr>
              <w:t>标项二</w:t>
            </w:r>
            <w:r>
              <w:rPr>
                <w:rFonts w:hint="eastAsia" w:hAnsi="宋体" w:cs="宋体"/>
                <w:color w:val="auto"/>
                <w:sz w:val="21"/>
                <w:highlight w:val="none"/>
              </w:rPr>
              <w:t>人民币玖佰元整（￥900.00）；</w:t>
            </w:r>
            <w:r>
              <w:rPr>
                <w:rFonts w:hint="eastAsia" w:hAnsi="宋体" w:cs="宋体"/>
                <w:b/>
                <w:bCs/>
                <w:color w:val="auto"/>
                <w:sz w:val="21"/>
                <w:highlight w:val="none"/>
              </w:rPr>
              <w:t>标项三</w:t>
            </w:r>
            <w:r>
              <w:rPr>
                <w:rFonts w:hint="eastAsia" w:hAnsi="宋体" w:cs="宋体"/>
                <w:color w:val="auto"/>
                <w:sz w:val="21"/>
                <w:highlight w:val="none"/>
              </w:rPr>
              <w:t>人民币陆仟元整（￥6000.00）；</w:t>
            </w:r>
            <w:r>
              <w:rPr>
                <w:rFonts w:hint="eastAsia" w:hAnsi="宋体" w:cs="宋体"/>
                <w:b/>
                <w:bCs/>
                <w:color w:val="auto"/>
                <w:sz w:val="21"/>
                <w:highlight w:val="none"/>
              </w:rPr>
              <w:t>标项四</w:t>
            </w:r>
            <w:r>
              <w:rPr>
                <w:rFonts w:hint="eastAsia" w:hAnsi="宋体" w:cs="宋体"/>
                <w:color w:val="auto"/>
                <w:sz w:val="21"/>
                <w:highlight w:val="none"/>
              </w:rPr>
              <w:t>人民币壹仟元整（￥1000.00）；</w:t>
            </w:r>
            <w:r>
              <w:rPr>
                <w:rFonts w:hint="eastAsia" w:hAnsi="宋体" w:cs="宋体"/>
                <w:b/>
                <w:bCs/>
                <w:color w:val="auto"/>
                <w:sz w:val="21"/>
                <w:highlight w:val="none"/>
              </w:rPr>
              <w:t>标项五</w:t>
            </w:r>
            <w:r>
              <w:rPr>
                <w:rFonts w:hint="eastAsia" w:hAnsi="宋体" w:cs="宋体"/>
                <w:color w:val="auto"/>
                <w:sz w:val="21"/>
                <w:highlight w:val="none"/>
              </w:rPr>
              <w:t>人民币玖佰元整（￥900.00）；</w:t>
            </w:r>
            <w:r>
              <w:rPr>
                <w:rFonts w:hint="eastAsia" w:hAnsi="宋体" w:cs="宋体"/>
                <w:b/>
                <w:bCs/>
                <w:color w:val="auto"/>
                <w:sz w:val="21"/>
                <w:highlight w:val="none"/>
              </w:rPr>
              <w:t>标项六</w:t>
            </w:r>
            <w:r>
              <w:rPr>
                <w:rFonts w:hint="eastAsia" w:hAnsi="宋体" w:cs="宋体"/>
                <w:color w:val="auto"/>
                <w:sz w:val="21"/>
                <w:highlight w:val="none"/>
              </w:rPr>
              <w:t>人民币捌佰元整（￥800.00）；</w:t>
            </w:r>
            <w:r>
              <w:rPr>
                <w:rFonts w:hint="eastAsia" w:hAnsi="宋体" w:cs="宋体"/>
                <w:b/>
                <w:bCs/>
                <w:color w:val="auto"/>
                <w:sz w:val="21"/>
                <w:highlight w:val="none"/>
              </w:rPr>
              <w:t>标项七</w:t>
            </w:r>
            <w:r>
              <w:rPr>
                <w:rFonts w:hint="eastAsia" w:hAnsi="宋体" w:cs="宋体"/>
                <w:color w:val="auto"/>
                <w:sz w:val="21"/>
                <w:highlight w:val="none"/>
              </w:rPr>
              <w:t>人民币壹仟元整（￥1000.00）。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0" w:hRule="atLeast"/>
        </w:trPr>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8236" w:type="dxa"/>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现场考察或答疑会：</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□组织。集中考察时间：，集中考察地点：，联系人：。</w:t>
            </w:r>
          </w:p>
          <w:p>
            <w:pPr>
              <w:spacing w:line="440" w:lineRule="exact"/>
              <w:rPr>
                <w:rFonts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不组织。供应商自行考察现场。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5</w:t>
            </w:r>
          </w:p>
        </w:tc>
        <w:tc>
          <w:tcPr>
            <w:tcW w:w="8236" w:type="dxa"/>
            <w:vAlign w:val="center"/>
          </w:tcPr>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是否需要演示：</w:t>
            </w:r>
          </w:p>
          <w:p>
            <w:pPr>
              <w:snapToGrid w:val="0"/>
              <w:spacing w:line="440" w:lineRule="exact"/>
              <w:rPr>
                <w:rFonts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不需演示。</w:t>
            </w:r>
          </w:p>
          <w:p>
            <w:pPr>
              <w:snapToGrid w:val="0"/>
              <w:spacing w:line="440" w:lineRule="exact"/>
              <w:rPr>
                <w:rFonts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需要演示</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演示时间：，地点：。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6</w:t>
            </w:r>
          </w:p>
        </w:tc>
        <w:tc>
          <w:tcPr>
            <w:tcW w:w="8236" w:type="dxa"/>
            <w:vAlign w:val="center"/>
          </w:tcPr>
          <w:p>
            <w:pPr>
              <w:snapToGrid w:val="0"/>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联合体竞标：</w:t>
            </w:r>
          </w:p>
          <w:p>
            <w:pPr>
              <w:snapToGrid w:val="0"/>
              <w:spacing w:line="440" w:lineRule="exact"/>
              <w:rPr>
                <w:rFonts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接受联合体竞标。</w:t>
            </w:r>
          </w:p>
          <w:p>
            <w:pPr>
              <w:snapToGrid w:val="0"/>
              <w:spacing w:line="440" w:lineRule="exact"/>
              <w:rPr>
                <w:rFonts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不接受联合体竞标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7</w:t>
            </w:r>
          </w:p>
        </w:tc>
        <w:tc>
          <w:tcPr>
            <w:tcW w:w="8236" w:type="dxa"/>
            <w:vAlign w:val="center"/>
          </w:tcPr>
          <w:p>
            <w:pPr>
              <w:snapToGrid w:val="0"/>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是否允许分包：</w:t>
            </w:r>
          </w:p>
          <w:p>
            <w:pPr>
              <w:snapToGrid w:val="0"/>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☑不允许分包</w:t>
            </w:r>
          </w:p>
          <w:p>
            <w:pPr>
              <w:snapToGrid w:val="0"/>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□允许分包</w:t>
            </w:r>
          </w:p>
          <w:p>
            <w:pPr>
              <w:snapToGrid w:val="0"/>
              <w:spacing w:line="440" w:lineRule="exact"/>
              <w:rPr>
                <w:rFonts w:ascii="宋体" w:hAnsi="宋体" w:cs="宋体"/>
                <w:color w:val="auto"/>
                <w:szCs w:val="21"/>
                <w:highlight w:val="none"/>
              </w:rPr>
            </w:pPr>
            <w:r>
              <w:rPr>
                <w:rFonts w:hint="eastAsia" w:ascii="宋体" w:hAnsi="宋体" w:cs="宋体"/>
                <w:color w:val="auto"/>
                <w:kern w:val="0"/>
                <w:szCs w:val="21"/>
                <w:highlight w:val="none"/>
              </w:rPr>
              <w:t>分包内容：。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8</w:t>
            </w:r>
          </w:p>
        </w:tc>
        <w:tc>
          <w:tcPr>
            <w:tcW w:w="8236" w:type="dxa"/>
            <w:vAlign w:val="center"/>
          </w:tcPr>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响应文件组成：资格文件、商务和技术文件、报价文件。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9</w:t>
            </w:r>
          </w:p>
        </w:tc>
        <w:tc>
          <w:tcPr>
            <w:tcW w:w="8236" w:type="dxa"/>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最高限价：详见竞争性磋商公告。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w:t>
            </w:r>
          </w:p>
        </w:tc>
        <w:tc>
          <w:tcPr>
            <w:tcW w:w="8236" w:type="dxa"/>
            <w:vAlign w:val="center"/>
          </w:tcPr>
          <w:p>
            <w:pPr>
              <w:spacing w:line="440" w:lineRule="exact"/>
              <w:rPr>
                <w:rFonts w:ascii="宋体" w:hAnsi="宋体" w:cs="宋体"/>
                <w:color w:val="auto"/>
                <w:highlight w:val="none"/>
              </w:rPr>
            </w:pPr>
            <w:r>
              <w:rPr>
                <w:rFonts w:hint="eastAsia" w:ascii="宋体" w:hAnsi="宋体" w:cs="宋体"/>
                <w:color w:val="auto"/>
                <w:highlight w:val="none"/>
              </w:rPr>
              <w:t>竞标</w:t>
            </w:r>
            <w:r>
              <w:rPr>
                <w:rFonts w:hint="eastAsia" w:ascii="宋体" w:hAnsi="宋体" w:cs="宋体"/>
                <w:color w:val="auto"/>
                <w:szCs w:val="21"/>
                <w:highlight w:val="none"/>
              </w:rPr>
              <w:t>报价及费用：1、本项目竞标应以人民币报价；2、不论竞标结果如何，供应商均应自行承担所有与竞标有关的全部费用；3、代理服务费按</w:t>
            </w:r>
            <w:r>
              <w:rPr>
                <w:rFonts w:hint="eastAsia" w:ascii="宋体" w:hAnsi="宋体" w:cs="宋体"/>
                <w:color w:val="auto"/>
                <w:highlight w:val="none"/>
              </w:rPr>
              <w:t>以中标金额为计费额，按本须知正文第37.2条规定的标准（□货物招标/☑服务招标/□工程招标）采用差额定率累进法计算出收费基准价格，采购代理收费以（☑收费基准价格/□收费基准价格下浮</w:t>
            </w:r>
            <w:r>
              <w:rPr>
                <w:rFonts w:hint="eastAsia" w:ascii="宋体" w:hAnsi="宋体" w:cs="宋体"/>
                <w:color w:val="auto"/>
                <w:highlight w:val="none"/>
                <w:u w:val="single"/>
              </w:rPr>
              <w:t xml:space="preserve">  </w:t>
            </w:r>
            <w:r>
              <w:rPr>
                <w:rFonts w:hint="eastAsia" w:ascii="宋体" w:hAnsi="宋体" w:cs="宋体"/>
                <w:color w:val="auto"/>
                <w:highlight w:val="none"/>
              </w:rPr>
              <w:t>/□收费基准价格上浮</w:t>
            </w:r>
            <w:r>
              <w:rPr>
                <w:rFonts w:hint="eastAsia" w:ascii="宋体" w:hAnsi="宋体" w:cs="宋体"/>
                <w:color w:val="auto"/>
                <w:highlight w:val="none"/>
                <w:u w:val="single"/>
              </w:rPr>
              <w:t>%</w:t>
            </w:r>
            <w:r>
              <w:rPr>
                <w:rFonts w:hint="eastAsia" w:ascii="宋体" w:hAnsi="宋体" w:cs="宋体"/>
                <w:color w:val="auto"/>
                <w:highlight w:val="none"/>
              </w:rPr>
              <w:t>）收取。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11</w:t>
            </w:r>
          </w:p>
        </w:tc>
        <w:tc>
          <w:tcPr>
            <w:tcW w:w="8236" w:type="dxa"/>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提交响应文件截止时间：2025年</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日09:30（北京时间）</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投标地点（网址）：请登录广西政府采购云平台投标客户端投标</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开标时间：2025年</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日09:30</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开标地点：本次招标在广西政府采购云平台开标大厅电子开标大厅开标。</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CA证书在线解密：供应商投标时，需携带制作响应文件时用来加密的有效数字证书（CA认证）登录广西政府采购云平台电子开标大厅现场按规定时间对加密的响应文件进行解密，否则后果自负。</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供应商应当在首次响应文件提交截止时间前完成电子响应文件的上传、递交，响应文件提交截止时间前可以补充、修改或者撤回响应文件。补充或者修改响应文件的，应当先行撤回原文件，补充、修改后重新上传、递交。投标截止时间前未完成上传、递交的，视为撤回响应文件。响应文件提交截止时间以后上传递交的响应文件的，广西政府采购云平台将予以拒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12</w:t>
            </w:r>
          </w:p>
        </w:tc>
        <w:tc>
          <w:tcPr>
            <w:tcW w:w="8236" w:type="dxa"/>
            <w:vAlign w:val="center"/>
          </w:tcPr>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首次响应文件开启时间</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时间：2025年</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日09:30（北京时间）开标后</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地点：广西政府采购云平台开标大厅</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磋商时间及地点：</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2025年</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日09:30截标后为与供应商磋商时间，具体时间由采购代理机构另行通知。</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地点：广西政府采购云平台开标大厅。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13</w:t>
            </w:r>
          </w:p>
        </w:tc>
        <w:tc>
          <w:tcPr>
            <w:tcW w:w="8236" w:type="dxa"/>
            <w:vAlign w:val="center"/>
          </w:tcPr>
          <w:p>
            <w:pPr>
              <w:autoSpaceDE w:val="0"/>
              <w:autoSpaceDN w:val="0"/>
              <w:adjustRightIn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磋商的顺序：</w:t>
            </w:r>
          </w:p>
          <w:p>
            <w:pPr>
              <w:autoSpaceDE w:val="0"/>
              <w:autoSpaceDN w:val="0"/>
              <w:adjustRightIn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□按照提交首次响应文件的顺序</w:t>
            </w:r>
          </w:p>
          <w:p>
            <w:pPr>
              <w:autoSpaceDE w:val="0"/>
              <w:autoSpaceDN w:val="0"/>
              <w:adjustRightInd w:val="0"/>
              <w:spacing w:line="440" w:lineRule="exact"/>
              <w:jc w:val="left"/>
              <w:rPr>
                <w:rFonts w:ascii="宋体" w:hAnsi="宋体" w:cs="宋体"/>
                <w:color w:val="auto"/>
                <w:szCs w:val="21"/>
                <w:highlight w:val="none"/>
              </w:rPr>
            </w:pPr>
            <w:r>
              <w:rPr>
                <w:rFonts w:hint="eastAsia" w:ascii="宋体" w:hAnsi="宋体" w:cs="宋体"/>
                <w:color w:val="auto"/>
                <w:kern w:val="0"/>
                <w:szCs w:val="21"/>
                <w:highlight w:val="none"/>
              </w:rPr>
              <w:t>☑随机排序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14</w:t>
            </w:r>
          </w:p>
        </w:tc>
        <w:tc>
          <w:tcPr>
            <w:tcW w:w="8236" w:type="dxa"/>
            <w:vAlign w:val="center"/>
          </w:tcPr>
          <w:p>
            <w:pPr>
              <w:widowControl/>
              <w:spacing w:line="440" w:lineRule="exact"/>
              <w:jc w:val="left"/>
              <w:rPr>
                <w:rFonts w:ascii="宋体" w:hAnsi="宋体" w:cs="宋体"/>
                <w:color w:val="auto"/>
                <w:kern w:val="0"/>
                <w:sz w:val="24"/>
                <w:highlight w:val="none"/>
              </w:rPr>
            </w:pPr>
            <w:r>
              <w:rPr>
                <w:rFonts w:hint="eastAsia" w:ascii="宋体" w:hAnsi="宋体" w:cs="宋体"/>
                <w:color w:val="auto"/>
                <w:szCs w:val="21"/>
                <w:highlight w:val="none"/>
              </w:rPr>
              <w:t>评标办法及评分标准：综合评分法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15</w:t>
            </w:r>
          </w:p>
        </w:tc>
        <w:tc>
          <w:tcPr>
            <w:tcW w:w="8236" w:type="dxa"/>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发布媒体：http://www.ccgp.gov.cn（中国政府采购网）、http://zfcg.gxzf.gov.cn（广西壮族自治区政府采购网）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16</w:t>
            </w:r>
          </w:p>
        </w:tc>
        <w:tc>
          <w:tcPr>
            <w:tcW w:w="8236" w:type="dxa"/>
            <w:vAlign w:val="center"/>
          </w:tcPr>
          <w:p>
            <w:pPr>
              <w:snapToGrid w:val="0"/>
              <w:spacing w:before="120" w:beforeLines="50" w:line="440" w:lineRule="exact"/>
              <w:rPr>
                <w:rFonts w:ascii="宋体" w:hAnsi="宋体" w:cs="宋体"/>
                <w:color w:val="auto"/>
                <w:sz w:val="24"/>
                <w:highlight w:val="none"/>
              </w:rPr>
            </w:pPr>
            <w:r>
              <w:rPr>
                <w:rFonts w:hint="eastAsia" w:ascii="宋体" w:hAnsi="宋体" w:cs="宋体"/>
                <w:color w:val="auto"/>
                <w:szCs w:val="21"/>
                <w:highlight w:val="none"/>
              </w:rPr>
              <w:t>成交公告及成交通知书：成交</w:t>
            </w:r>
            <w:r>
              <w:rPr>
                <w:rFonts w:hint="eastAsia" w:ascii="宋体" w:hAnsi="宋体" w:cs="宋体"/>
                <w:color w:val="auto"/>
                <w:highlight w:val="none"/>
              </w:rPr>
              <w:t>供应商确定后，采购代理机构或采购人须在“信用中国”网站（www.creditchina.gov.cn）和中国政府采购网（http://www.ccgp.gov.cn/）查询中标供应商主体信用记录，如其未被列入失信被执行人、重大税收违法案件当事人名单、政府采购严重违法失信行为记录名单，则采购代理机构在中国政府采购网、广西政府采购网发布中标公告同时向中标供应商发出中标通知书；如其被列入失信被执行人、重大税收违法案件当事人名单、政府采购严重违法失信行为记录名单，则取消其中标资格，并确定排名第二的中标候选人为中标人。排名第二的中标候选人因前款规定的同样原因被取消中标资格的，采购人可以确定排名第三的中标候选人为中标人。以上信息查询记录及相关证据与采购文件一并保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17</w:t>
            </w:r>
          </w:p>
        </w:tc>
        <w:tc>
          <w:tcPr>
            <w:tcW w:w="8236" w:type="dxa"/>
            <w:vAlign w:val="center"/>
          </w:tcPr>
          <w:p>
            <w:pPr>
              <w:snapToGrid w:val="0"/>
              <w:spacing w:line="440" w:lineRule="exact"/>
              <w:rPr>
                <w:rFonts w:ascii="宋体" w:hAnsi="宋体" w:cs="宋体"/>
                <w:color w:val="auto"/>
                <w:highlight w:val="none"/>
              </w:rPr>
            </w:pPr>
            <w:r>
              <w:rPr>
                <w:rFonts w:hint="eastAsia" w:ascii="宋体" w:hAnsi="宋体" w:cs="宋体"/>
                <w:color w:val="auto"/>
                <w:szCs w:val="21"/>
                <w:highlight w:val="none"/>
              </w:rPr>
              <w:t>签订合同时间：成交通知书发出之日起二十五日内。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18</w:t>
            </w:r>
          </w:p>
        </w:tc>
        <w:tc>
          <w:tcPr>
            <w:tcW w:w="8236" w:type="dxa"/>
            <w:vAlign w:val="center"/>
          </w:tcPr>
          <w:p>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szCs w:val="21"/>
                <w:highlight w:val="none"/>
              </w:rPr>
              <w:t>履约保证金：</w:t>
            </w:r>
            <w:r>
              <w:rPr>
                <w:rFonts w:hint="eastAsia" w:ascii="宋体" w:hAnsi="宋体" w:cs="宋体"/>
                <w:b/>
                <w:color w:val="auto"/>
                <w:szCs w:val="21"/>
                <w:highlight w:val="none"/>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19</w:t>
            </w:r>
          </w:p>
        </w:tc>
        <w:tc>
          <w:tcPr>
            <w:tcW w:w="8236" w:type="dxa"/>
            <w:vAlign w:val="center"/>
          </w:tcPr>
          <w:p>
            <w:pPr>
              <w:snapToGrid w:val="0"/>
              <w:spacing w:line="440" w:lineRule="exact"/>
              <w:rPr>
                <w:rFonts w:ascii="宋体" w:hAnsi="宋体" w:cs="宋体"/>
                <w:color w:val="auto"/>
                <w:szCs w:val="21"/>
                <w:highlight w:val="none"/>
              </w:rPr>
            </w:pPr>
            <w:r>
              <w:rPr>
                <w:rFonts w:hint="eastAsia" w:ascii="宋体" w:hAnsi="宋体" w:cs="宋体"/>
                <w:color w:val="auto"/>
                <w:highlight w:val="none"/>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供应商应在响应文件中注明投标内容中涉及商业秘密的部分，未注明的视为响应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20</w:t>
            </w:r>
          </w:p>
        </w:tc>
        <w:tc>
          <w:tcPr>
            <w:tcW w:w="8236" w:type="dxa"/>
            <w:vAlign w:val="center"/>
          </w:tcPr>
          <w:p>
            <w:pPr>
              <w:snapToGrid w:val="0"/>
              <w:spacing w:line="440" w:lineRule="exact"/>
              <w:rPr>
                <w:rFonts w:ascii="宋体" w:hAnsi="宋体" w:cs="宋体"/>
                <w:color w:val="auto"/>
                <w:highlight w:val="none"/>
              </w:rPr>
            </w:pPr>
            <w:r>
              <w:rPr>
                <w:rFonts w:hint="eastAsia" w:ascii="宋体" w:hAnsi="宋体" w:cs="宋体"/>
                <w:color w:val="auto"/>
                <w:szCs w:val="21"/>
                <w:highlight w:val="none"/>
              </w:rPr>
              <w:t>响应文件有效期：提交首次响应文件截止之日起60天内。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21</w:t>
            </w:r>
          </w:p>
        </w:tc>
        <w:tc>
          <w:tcPr>
            <w:tcW w:w="8236" w:type="dxa"/>
            <w:vAlign w:val="center"/>
          </w:tcPr>
          <w:p>
            <w:pPr>
              <w:autoSpaceDE w:val="0"/>
              <w:autoSpaceDN w:val="0"/>
              <w:snapToGrid w:val="0"/>
              <w:spacing w:line="440" w:lineRule="exact"/>
              <w:textAlignment w:val="bottom"/>
              <w:rPr>
                <w:rFonts w:ascii="宋体" w:hAnsi="宋体" w:cs="宋体"/>
                <w:color w:val="auto"/>
                <w:szCs w:val="21"/>
                <w:highlight w:val="none"/>
              </w:rPr>
            </w:pPr>
            <w:r>
              <w:rPr>
                <w:rFonts w:hint="eastAsia" w:ascii="宋体" w:hAnsi="宋体" w:cs="宋体"/>
                <w:color w:val="auto"/>
                <w:szCs w:val="21"/>
                <w:highlight w:val="none"/>
              </w:rPr>
              <w:t>采购资金来源：</w:t>
            </w:r>
            <w:r>
              <w:rPr>
                <w:rFonts w:hint="eastAsia" w:ascii="宋体" w:hAnsi="宋体" w:cs="宋体"/>
                <w:b/>
                <w:color w:val="auto"/>
                <w:highlight w:val="none"/>
              </w:rPr>
              <w:t>√</w:t>
            </w:r>
            <w:r>
              <w:rPr>
                <w:rFonts w:hint="eastAsia" w:ascii="宋体" w:hAnsi="宋体" w:cs="宋体"/>
                <w:color w:val="auto"/>
                <w:highlight w:val="none"/>
              </w:rPr>
              <w:t>预算资金、预算外资金、其他资金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22</w:t>
            </w:r>
          </w:p>
        </w:tc>
        <w:tc>
          <w:tcPr>
            <w:tcW w:w="8236" w:type="dxa"/>
            <w:vAlign w:val="center"/>
          </w:tcPr>
          <w:p>
            <w:pPr>
              <w:autoSpaceDE w:val="0"/>
              <w:autoSpaceDN w:val="0"/>
              <w:snapToGrid w:val="0"/>
              <w:spacing w:line="440" w:lineRule="exact"/>
              <w:textAlignment w:val="bottom"/>
              <w:rPr>
                <w:rFonts w:ascii="宋体" w:hAnsi="宋体" w:cs="宋体"/>
                <w:color w:val="auto"/>
                <w:szCs w:val="21"/>
                <w:highlight w:val="none"/>
              </w:rPr>
            </w:pPr>
            <w:r>
              <w:rPr>
                <w:rFonts w:hint="eastAsia" w:ascii="宋体" w:hAnsi="宋体" w:cs="宋体"/>
                <w:color w:val="auto"/>
                <w:szCs w:val="21"/>
                <w:highlight w:val="none"/>
              </w:rPr>
              <w:t>付款方式：</w:t>
            </w:r>
            <w:r>
              <w:rPr>
                <w:rFonts w:hint="eastAsia" w:ascii="宋体" w:hAnsi="宋体" w:cs="宋体"/>
                <w:color w:val="auto"/>
                <w:highlight w:val="none"/>
              </w:rPr>
              <w:t>国库集中支付或采购专户支付、</w:t>
            </w:r>
            <w:r>
              <w:rPr>
                <w:rFonts w:hint="eastAsia" w:ascii="宋体" w:hAnsi="宋体" w:cs="宋体"/>
                <w:b/>
                <w:color w:val="auto"/>
                <w:highlight w:val="none"/>
              </w:rPr>
              <w:t>√</w:t>
            </w:r>
            <w:r>
              <w:rPr>
                <w:rFonts w:hint="eastAsia" w:ascii="宋体" w:hAnsi="宋体" w:cs="宋体"/>
                <w:color w:val="auto"/>
                <w:highlight w:val="none"/>
              </w:rPr>
              <w:t>采购人自行支付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23</w:t>
            </w:r>
          </w:p>
        </w:tc>
        <w:tc>
          <w:tcPr>
            <w:tcW w:w="8236" w:type="dxa"/>
            <w:vAlign w:val="center"/>
          </w:tcPr>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解释：本招标文件的解释权属于采购单位。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24</w:t>
            </w:r>
          </w:p>
        </w:tc>
        <w:tc>
          <w:tcPr>
            <w:tcW w:w="8236" w:type="dxa"/>
            <w:vAlign w:val="center"/>
          </w:tcPr>
          <w:p>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1、参与电子投标的准备工作：</w:t>
            </w:r>
          </w:p>
          <w:p>
            <w:pPr>
              <w:wordWrap w:val="0"/>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1）本项目为全流程电子化采购项目，通过“广西政府采购云平台”（https://www.gcy.zfcg.gxzf.gov.cn/）实行在线电子竞标，供应商应先安装“广西政府采购云平台客户端”（请自行前往“广西政府采购网—办事服务—下载专区”进行下载），并按照本项目竞争性磋商文件和“广西政府采购云平台”的要求编制、加密后在提交响应文件截止时间前通过网络上传至“广西政府采购云平台”，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w:t>
            </w:r>
            <w:r>
              <w:rPr>
                <w:rFonts w:hint="eastAsia" w:ascii="宋体" w:hAnsi="宋体" w:cs="宋体"/>
                <w:color w:val="auto"/>
                <w:highlight w:val="none"/>
                <w:lang w:eastAsia="zh-CN"/>
              </w:rPr>
              <w:t>登录</w:t>
            </w:r>
            <w:r>
              <w:rPr>
                <w:rFonts w:hint="eastAsia" w:ascii="宋体" w:hAnsi="宋体" w:cs="宋体"/>
                <w:color w:val="auto"/>
                <w:highlight w:val="none"/>
              </w:rPr>
              <w:t>“广西政府采购云平台”，依次进入“服务中心-入驻与配置”中查看CA数字证书办理操作流程。如在操作过程中遇到问题或者需要技术支持，请致电广西政府采购云客服热线：95763）。</w:t>
            </w:r>
          </w:p>
          <w:p>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（4）供应商需要在具备有摄像头及语音功能且互联网网络状况良好的电脑登录“广西政府采购云平台”远程开标大厅参与本次磋商，否则后果自负。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25</w:t>
            </w:r>
          </w:p>
        </w:tc>
        <w:tc>
          <w:tcPr>
            <w:tcW w:w="8236" w:type="dxa"/>
            <w:vAlign w:val="center"/>
          </w:tcPr>
          <w:p>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电子响应文件的制作、加密：</w:t>
            </w:r>
          </w:p>
          <w:p>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1、供应商制作电子响应文件前，应</w:t>
            </w:r>
            <w:r>
              <w:rPr>
                <w:rFonts w:hint="eastAsia" w:ascii="宋体" w:hAnsi="宋体" w:cs="宋体"/>
                <w:color w:val="auto"/>
                <w:highlight w:val="none"/>
                <w:lang w:eastAsia="zh-CN"/>
              </w:rPr>
              <w:t>登录</w:t>
            </w:r>
            <w:r>
              <w:rPr>
                <w:rFonts w:hint="eastAsia" w:ascii="宋体" w:hAnsi="宋体" w:cs="宋体"/>
                <w:color w:val="auto"/>
                <w:highlight w:val="none"/>
              </w:rPr>
              <w:t>广西政府采购云平台进行“申请获取采购文件”操作，否则，有可能导致无法在线编制响应文件并参与竞标，其不利后果由供应商自行承担。</w:t>
            </w:r>
          </w:p>
          <w:p>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2、供应商下载或获取招标文件后，登录“广西政府采购云平台电子投标客户端”，按照本招标文件规定的响应文件格式、顺序以及“广西政府采购云平台”的要求，通过“广西政府采购云平台电子投标客户端”编制电子响应文件。</w:t>
            </w:r>
          </w:p>
          <w:p>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3、供应商应按“广西政府采购云平台电子投标客户端”载明的“标书关联”功能进行电子响应文件的关联定位，以便评标小组在评审时点击相应评审项可直接定位到该评审内容；如供应商的电子响应文件未能关联定位相应内容，或者关联定位的内容与该评审项不符，导致评标小组无法查询并做出对供应商不利的评审，相关后果由供应商自行承担。</w:t>
            </w:r>
          </w:p>
          <w:p>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4、电子响应文件不得涂改，若有修改错漏处，须由法定代表人（负责人、自然人）或授权委托代理人通过广西政府采购云平台电子投标客户端”采用广西政府采购云平台个人CA证书签章，没有办理广西政府采购云平台个人CA证书签章的，在响应文件中响应位置手写签字后扫描或者拍照做成PDF的格式上传。因响应文件字迹潦草、表达不清、内容不完整、编排混乱导致响应文件被误读、漏读，或者在按招标文件规定的部位查找不到相关内容的，其不利后果由供应商自行承担。</w:t>
            </w:r>
          </w:p>
          <w:p>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5、供应商编制、生成电子响应文件后应当加密响应文件。供应商未按规定编制并加密的响应文件，广西政府采购云平台将予以拒收。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26</w:t>
            </w:r>
          </w:p>
        </w:tc>
        <w:tc>
          <w:tcPr>
            <w:tcW w:w="8236" w:type="dxa"/>
            <w:vAlign w:val="center"/>
          </w:tcPr>
          <w:p>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供应商公章及签字：</w:t>
            </w:r>
          </w:p>
          <w:p>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1、本招标文件中描述供应商的“公章”是指供应商通过指定电子化政府采购平台办理数字证书（CA认证证书）获得的以法定主体行为名称制作的电子印章。</w:t>
            </w:r>
          </w:p>
          <w:p>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2、本招标文件中要求供应商对其电子响应文件的相关内容加盖公章的，均指采用CA证书签章。</w:t>
            </w:r>
          </w:p>
          <w:p>
            <w:pPr>
              <w:pStyle w:val="208"/>
              <w:autoSpaceDE w:val="0"/>
              <w:autoSpaceDN w:val="0"/>
              <w:spacing w:line="440" w:lineRule="exact"/>
              <w:textAlignment w:val="bottom"/>
              <w:rPr>
                <w:rFonts w:ascii="宋体" w:hAnsi="宋体" w:cs="宋体"/>
                <w:color w:val="auto"/>
                <w:highlight w:val="none"/>
              </w:rPr>
            </w:pPr>
            <w:r>
              <w:rPr>
                <w:rFonts w:hint="eastAsia" w:ascii="宋体" w:hAnsi="宋体" w:cs="宋体"/>
                <w:color w:val="auto"/>
                <w:highlight w:val="none"/>
              </w:rPr>
              <w:t>3、本招标文件中描述供应商的“签字”是指供应商通过指定电子化政府采购平台办理数字证书（CA认证证书）获得的以供应商法定代表人（负责人、自然人）或者委托代理人姓名制作的个人电子印章或手写签字。没有办理个人CA证书的，可以为手写签字的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27</w:t>
            </w:r>
          </w:p>
        </w:tc>
        <w:tc>
          <w:tcPr>
            <w:tcW w:w="8236" w:type="dxa"/>
            <w:vAlign w:val="center"/>
          </w:tcPr>
          <w:p>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响应文件的解密：</w:t>
            </w:r>
          </w:p>
          <w:p>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采购代理机构将在“招标公告”规定的时间通过电子交易平台组织响应文件开启，采购机构依托电子交易平台发起开始解密指令，供应商的法定代表人或其委托代理人须携带加密时所用的CA锁按平台提示和采购文件的规定登录到广西政府采购云平台电子开标大厅签到并在发起解密指令之时起30分钟内完成对电子响应文件在线解密。发起解密指令之时起5分钟内供应商还未进行解密的，代理机构通知供应商，供应商没预留联系方式或预留联系方式无效，非代理机构原因导致代理机构无法联系到供应商进行解密的，视为响应文件无效。(解密异常情况处理：</w:t>
            </w:r>
            <w:r>
              <w:rPr>
                <w:rFonts w:hint="eastAsia" w:ascii="宋体" w:hAnsi="宋体" w:cs="宋体"/>
                <w:bCs/>
                <w:color w:val="auto"/>
                <w:highlight w:val="none"/>
              </w:rPr>
              <w:t>详见本章30.电子交易活动的中止</w:t>
            </w:r>
            <w:r>
              <w:rPr>
                <w:rFonts w:hint="eastAsia" w:ascii="宋体" w:hAnsi="宋体" w:cs="宋体"/>
                <w:color w:val="auto"/>
                <w:highlight w:val="none"/>
              </w:rPr>
              <w:t>。)</w:t>
            </w:r>
          </w:p>
        </w:tc>
      </w:tr>
    </w:tbl>
    <w:p>
      <w:pPr>
        <w:spacing w:line="44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供应商须知正文</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一、总则</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1.适用范围</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1.1本竞争性磋商采购文件适用于本项目的竞争性磋商采购、竞争性磋商响应、评审、定标、验收、合同履约、付款等行为（法律、法规另有规定的，从其规定）。</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2.定义</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2.1“采购人”：详见竞争性磋商公告。</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2.2“采购代理机构”是指：广西德元工程项目管理有限责任公司。</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2.3“供应商”是</w:t>
      </w:r>
      <w:r>
        <w:rPr>
          <w:rFonts w:hint="eastAsia" w:ascii="宋体" w:hAnsi="宋体" w:cs="宋体"/>
          <w:color w:val="auto"/>
          <w:highlight w:val="none"/>
        </w:rPr>
        <w:t>指响应磋商文件、参加磋商竞争的法人、其他组织或者自然人</w:t>
      </w:r>
      <w:r>
        <w:rPr>
          <w:rFonts w:hint="eastAsia" w:ascii="宋体" w:hAnsi="宋体" w:cs="宋体"/>
          <w:color w:val="auto"/>
          <w:szCs w:val="21"/>
          <w:highlight w:val="none"/>
        </w:rPr>
        <w:t>。如果该供应商在本次磋商采购中成交,即成为“成交供应商”。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分支机构的，是指分支机构营业执照上的负责人；当供应商是个体工商户的，是指个体工商户营业执照上的经营者；当供应商是自然人的，是指参与本项目响应的自然人本人。</w:t>
      </w:r>
    </w:p>
    <w:p>
      <w:pPr>
        <w:spacing w:line="440" w:lineRule="exact"/>
        <w:ind w:left="420" w:hanging="420"/>
        <w:rPr>
          <w:rFonts w:ascii="宋体" w:hAnsi="宋体" w:cs="宋体"/>
          <w:color w:val="auto"/>
          <w:szCs w:val="21"/>
          <w:highlight w:val="none"/>
        </w:rPr>
      </w:pPr>
      <w:r>
        <w:rPr>
          <w:rFonts w:hint="eastAsia" w:ascii="宋体" w:hAnsi="宋体" w:cs="宋体"/>
          <w:color w:val="auto"/>
          <w:szCs w:val="21"/>
          <w:highlight w:val="none"/>
        </w:rPr>
        <w:t>2.4“货物”是指各种形态和种类的物品，包括原材料、燃料、设备、产品等。</w:t>
      </w:r>
    </w:p>
    <w:p>
      <w:pPr>
        <w:spacing w:line="440" w:lineRule="exact"/>
        <w:ind w:left="420" w:hanging="420"/>
        <w:rPr>
          <w:rFonts w:ascii="宋体" w:hAnsi="宋体" w:cs="宋体"/>
          <w:color w:val="auto"/>
          <w:szCs w:val="21"/>
          <w:highlight w:val="none"/>
        </w:rPr>
      </w:pPr>
      <w:r>
        <w:rPr>
          <w:rFonts w:hint="eastAsia" w:ascii="宋体" w:hAnsi="宋体" w:cs="宋体"/>
          <w:color w:val="auto"/>
          <w:szCs w:val="21"/>
          <w:highlight w:val="none"/>
        </w:rPr>
        <w:t>2.5“服务”</w:t>
      </w:r>
      <w:r>
        <w:rPr>
          <w:rFonts w:hint="eastAsia" w:ascii="宋体" w:hAnsi="宋体" w:cs="宋体"/>
          <w:color w:val="auto"/>
          <w:spacing w:val="-10"/>
          <w:szCs w:val="21"/>
          <w:highlight w:val="none"/>
        </w:rPr>
        <w:t>是</w:t>
      </w:r>
      <w:r>
        <w:rPr>
          <w:rFonts w:hint="eastAsia" w:ascii="宋体" w:hAnsi="宋体" w:cs="宋体"/>
          <w:color w:val="auto"/>
          <w:szCs w:val="21"/>
          <w:highlight w:val="none"/>
        </w:rPr>
        <w:t>指除货物和工程以外的其他政府采购对象。</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2.6“书面形式”包括是指合同书、信件和数据电文（包括电报、电传、传真、电子数据交换和电子邮件）等可以有形地表现所载内容的形式。</w:t>
      </w:r>
    </w:p>
    <w:p>
      <w:pPr>
        <w:spacing w:line="440" w:lineRule="exact"/>
        <w:ind w:left="420" w:hanging="420"/>
        <w:rPr>
          <w:rFonts w:ascii="宋体" w:hAnsi="宋体" w:cs="宋体"/>
          <w:color w:val="auto"/>
          <w:szCs w:val="21"/>
          <w:highlight w:val="none"/>
        </w:rPr>
      </w:pPr>
      <w:r>
        <w:rPr>
          <w:rFonts w:hint="eastAsia" w:ascii="宋体" w:hAnsi="宋体" w:cs="宋体"/>
          <w:color w:val="auto"/>
          <w:szCs w:val="21"/>
          <w:highlight w:val="none"/>
        </w:rPr>
        <w:t>2.7“响应文件”是指：供应商根据本文件要求，编制包含价格、商务、技术和服务等所有内容的文件。</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2.8“签字/签名”是指：指</w:t>
      </w:r>
      <w:r>
        <w:rPr>
          <w:rFonts w:hint="eastAsia" w:ascii="宋体" w:hAnsi="宋体" w:cs="宋体"/>
          <w:color w:val="auto"/>
          <w:highlight w:val="none"/>
        </w:rPr>
        <w:t>应商通过指定电子化政府采购平台办理数字证书（CA认证证书）获得的以供应商法定代表人（负责人、自然人）或者委托代理人姓名制作的个人电子印章或手写签字。没有办理个人CA证书的，可以为手写签字的形式。</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2.9“公章”是指供应商通过指定电子化政府采购平台办理数字证书（CA认证证书）获得的以法定主体行为名称制作的电子印章。本招标文件中要求供应商对其电子响应文件的相关内容加盖公章的，均指采用CA证书签章。</w:t>
      </w:r>
    </w:p>
    <w:p>
      <w:pPr>
        <w:spacing w:line="440" w:lineRule="exact"/>
        <w:ind w:left="420" w:hanging="420"/>
        <w:rPr>
          <w:rFonts w:ascii="宋体" w:hAnsi="宋体" w:cs="宋体"/>
          <w:color w:val="auto"/>
          <w:szCs w:val="21"/>
          <w:highlight w:val="none"/>
        </w:rPr>
      </w:pPr>
      <w:r>
        <w:rPr>
          <w:rFonts w:hint="eastAsia" w:ascii="宋体" w:hAnsi="宋体" w:cs="宋体"/>
          <w:color w:val="auto"/>
          <w:szCs w:val="21"/>
          <w:highlight w:val="none"/>
        </w:rPr>
        <w:t>2.10“</w:t>
      </w:r>
      <w:r>
        <w:rPr>
          <w:rFonts w:hint="eastAsia" w:ascii="宋体" w:hAnsi="宋体" w:cs="宋体"/>
          <w:color w:val="auto"/>
          <w:highlight w:val="none"/>
        </w:rPr>
        <w:t>▲</w:t>
      </w:r>
      <w:r>
        <w:rPr>
          <w:rFonts w:hint="eastAsia" w:ascii="宋体" w:hAnsi="宋体" w:cs="宋体"/>
          <w:color w:val="auto"/>
          <w:szCs w:val="21"/>
          <w:highlight w:val="none"/>
        </w:rPr>
        <w:t>”是指实质性要求条款。</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2.11本磋商文件所称的“以上”“以下”“以内”“届满”，包括本数；所称的“不满”“超过”“以外”，不包括本数；如磋商文件另有特殊规定的从其规定。</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3.供应商的资格条件</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3.1供应商资格：详见</w:t>
      </w:r>
      <w:bookmarkStart w:id="9" w:name="OLE_LINK23"/>
      <w:r>
        <w:rPr>
          <w:rFonts w:hint="eastAsia" w:ascii="宋体" w:hAnsi="宋体" w:cs="宋体"/>
          <w:color w:val="auto"/>
          <w:szCs w:val="21"/>
          <w:highlight w:val="none"/>
        </w:rPr>
        <w:t>供应商须知前附表</w:t>
      </w:r>
      <w:bookmarkEnd w:id="9"/>
      <w:r>
        <w:rPr>
          <w:rFonts w:hint="eastAsia" w:ascii="宋体" w:hAnsi="宋体" w:cs="宋体"/>
          <w:color w:val="auto"/>
          <w:szCs w:val="21"/>
          <w:highlight w:val="none"/>
        </w:rPr>
        <w:t>。</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4.磋商费用</w:t>
      </w:r>
    </w:p>
    <w:p>
      <w:pPr>
        <w:spacing w:line="440" w:lineRule="exact"/>
        <w:ind w:left="420" w:hanging="420"/>
        <w:rPr>
          <w:rFonts w:ascii="宋体" w:hAnsi="宋体" w:cs="宋体"/>
          <w:color w:val="auto"/>
          <w:szCs w:val="21"/>
          <w:highlight w:val="none"/>
        </w:rPr>
      </w:pPr>
      <w:r>
        <w:rPr>
          <w:rFonts w:hint="eastAsia" w:ascii="宋体" w:hAnsi="宋体" w:cs="宋体"/>
          <w:color w:val="auto"/>
          <w:szCs w:val="21"/>
          <w:highlight w:val="none"/>
        </w:rPr>
        <w:t>4.1供应商应自行承担所有与编写和提交响应文件有关的费用，不论磋商结果如何，采购人和采购代理机构在任何情况下无义务和责任承担此类费用。</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5.联合体竞标</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5.2联合体要求（联合体竞标时应满足下列要求）：</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（1）两个以上供应商可以组成一个竞标联合体，以一个供应商的身份共同参加竞标，联合体供应商的名称应统一按“XXX公司与XXX公司的联合体”的规则填写。</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（2）以联合体形式参加竞标的，联合体各方均应当符合“具有独立承担民事责任的能力”的条件。本项目有特殊要求规定供应商特定条件的，联合体各方中至少应当有一方符合招标文件规定的特定条件。</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联合体竞标的，须提供《联合体竞标协议书》，协议书必须明确主体方（或者牵头方）并明确约定联合体各方承担的工作和相应的责任（各方承担责任与义务的分工必须符合采购需求，否则，联合体竞标无效），并将联合竞标协议放入响应文件。联合体各方必须共同与采购人签订采购合同，就采购合同约定的事项对采购人承担连带责任。</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（4）以联合体形式参加政府采购活动的，联合体各方不得再单独参加或者与其他供应商另外组成联合体参加同一合同项下的政府采购活动，否则与之相关的响应文件作废。</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（5）联合体中有同类资质的供应商按照联合体分工承担相同工作的，应当按照资质等级较低的供应商确定资质等级。</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（6）联合体竞标业绩、履约能力按照联合体各方其中较高的一方认定并计算（招标文件另有规定的除外）。</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（7）联合体各方均应按照招标文件的规定提交资格证明文件。</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5.3根据《政府采购促进中小企业发展管理办法》（财库[2020]46号）第九条规定，接受大中型企业与小微企业组成联合体的采购项目，对于联合协议约定小微企业的合同份额占到合同总金额30%以上的，采购人、采购代理机构应当对联合体的报价给予4%-6%（工程项目为1%—2%）的扣除，用扣除后的价格参加评审。组成联合体的小微企业与联合体内其他企业、分包企业之间存在直接控股、管理关系的，不享受价格扣除优惠政策。</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6.分包与转包</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6.1本项目是否允许分包详见“供应商须知前附表”，本项目不允许违法分包。供应商根据招标文件的规定和采购项目的实际情况，拟在中标后将中标项目的非主体、非关键性工作分包的，应当在响应文件中载明分包承担主体，分包承担主体应当具备相应资质条件且不得再次分包。</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6.2根据《政府采购促进中小企业发展管理办法》（财库[2020]46号）第九条规定，允许大中型企业向一家或者多家小微企业分包的采购项目，对于分包意向协议约定小微企业的合同份额占到合同总金额30%以上的，采购人、采购代理机构应当对大中型企业的报价给予4%-6%的扣除，用扣除后的价格参加评审。接受分包的小微企业与分包企业之间存在直接控股、管理关系的，不享受价格扣除优惠政策。</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6.3本项目不允许转包。</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7.特别说明</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7.1出现下列情形之一的，在评审过程中，按一家供应商计算，评审后得分最高的同品牌供应商获得中标人推荐资格；评审得分相同的，以报价最低的供应商获得中标人推荐资格；评审得分及投标报价相同的，以技术得分最高的供应商获得中标人推荐资格；其他同品牌供应商不作为中标候选人：</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（1）提供相同品牌产品且通过资格审查、符合性审查的不同供应商参加单一产品的同一合同项下的政府采购活动的。</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（2）非单一产品采购项目中，多家供应商提供的核心产品品牌相同的，视为提供相同品牌产品。核心产品的名称应当在招标文件中载明。</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7.2供应商投标所使用的资格、信誉、荣誉、业绩与企业认证必须为本供应商所拥有。</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7.3供应商应仔细阅读招标文件的所有内容，按照招标文件的要求提交响应文件，并对所提供的全部资料的真实性承担法律责任。</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7.4供应商在投标活动中提供任何虚假材料,其投标无效，并报监管部门查处；中标后发现的,中标供应商须依照《中华人民共和国消费者权益保护法》规定赔偿采购人，且民事赔偿并不免除违法供应商的行政与刑事责任。</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7.5在政府采购活动中，采购人员及相关人员与供应商有下列利害关系之一的，应当回避：</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7.6有下列情形之一的视为供应商相互串通投标，其投标无效：</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（2）不同供应商委托同一单位或者个人办理投标事宜；</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（3）不同供应商的响应文件载明的项目管理成员或者联系人员为同一人；</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（4）不同供应商的响应文件异常一致或投标报价呈规律性差异；</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（6）不同供应商的投标保证金从同一单位或者个人账户转出。</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7.7供应商有下列情形之一的，属于恶意串通行为：</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（1）供应商直接或者间接从采购人或者采购代理机构处获得其他供应商的相关信息并修改其投标文件或者响应文件：</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（2）供应商按照采购人或者采购代理机构的授意撤换、修改投标文件或者响应文件；</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（3）供应商之间协商报价、技术方案等投标文件或者响应文件的实质性内容；</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（5）供应商之间事先约定一致抬高或者压低投标报价,或者在招标项目中事先约定轮流以高价位或者低价位中标,或者事先约定由某一特定供应商中标,然后再参加投标；</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（6）供应商之间商定部分供应商放弃参加政府采购活动或者放弃中标；</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（7）供应商与采购人或者采购代理机构之间、供应商相互之间，为谋求特定供应商中标或者排斥其他供应商的其他串通行为。</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7.8关联供应商不得参加同一合同项下政府采购活动，否则响应文件将被视为无效：</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（1）单位负责人为同一人或者存在直接控股、管理关系的不同的供应商，不得参加同一合同项下的政府采购活动；</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（2）生产厂商授权给供应商后自己不得参加同一合同项下的政府采购活动；生产厂商对同一品牌同一型号的货物，仅能委托一个代理商参加投标。</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8.质疑和投诉</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8.1供应商认为招标文件、招标过程或中标结果使自己的合法权益受到损害的，应当在知道或者应知其权益受到损害之日起七个工作日内，以书面形式向采购人、采购代理机构提出质疑。供应商对招标采购单位的质疑答复不满意或者招标采购单位未在规定时间内作出答复的，可以在答复期满后十五个工作日内向同级采购监管部门投诉。</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8.2质疑、投诉应当采用书面形式，质疑书、投诉书均应明确阐述招标文件、招标过程或中标结果中使自己合法权益受到损害的实质性内容，提供相关事实、依据和证据及其来源或线索，便于有关单位调查、答复和处理。</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8.3质疑和投诉书面要求</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质疑人或投诉人提供的书面材料（如材料中有外文资料须同时附上中文译本）至少包括以下内容：</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（1）质疑人或投诉人的姓名或者名称、地址、邮编、联系人及联系电话；</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（2）质疑项目的名称、编号；</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（3）具体、明确的质疑事项和与质疑事项相关的请求；</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（4）事实依据；</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（5）必要的法律依据；</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（6）质疑人或投诉人的签章及质疑或投诉时间；</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（7）质疑或投诉的书面材料须提供法定代表人签名和加盖单位公章的原件。</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（8）质疑人须一次性提出针对同一采购程序环节的质疑。</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9）如质疑或投诉委托代理人办理时，须提供质疑人的授权委托书，其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未持有有效授权委托书的代理人提交的质疑函或不在法定质疑期内提交的质疑函，将不予受理。</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8.4接受质疑函的联系方式等详见磋商公告中采购人、采购代理机构的联系方式。</w:t>
      </w:r>
    </w:p>
    <w:p>
      <w:pPr>
        <w:spacing w:line="440" w:lineRule="exact"/>
        <w:ind w:left="420" w:hanging="420"/>
        <w:rPr>
          <w:rFonts w:ascii="宋体" w:hAnsi="宋体" w:cs="宋体"/>
          <w:b/>
          <w:color w:val="auto"/>
          <w:szCs w:val="21"/>
          <w:highlight w:val="none"/>
        </w:rPr>
      </w:pPr>
      <w:r>
        <w:rPr>
          <w:rFonts w:hint="eastAsia" w:ascii="宋体" w:hAnsi="宋体" w:cs="宋体"/>
          <w:b/>
          <w:color w:val="auto"/>
          <w:szCs w:val="21"/>
          <w:highlight w:val="none"/>
        </w:rPr>
        <w:t>二、磋商文件</w:t>
      </w:r>
    </w:p>
    <w:p>
      <w:pPr>
        <w:spacing w:line="440" w:lineRule="exact"/>
        <w:ind w:left="420" w:hanging="420"/>
        <w:rPr>
          <w:rFonts w:ascii="宋体" w:hAnsi="宋体" w:cs="宋体"/>
          <w:b/>
          <w:color w:val="auto"/>
          <w:szCs w:val="21"/>
          <w:highlight w:val="none"/>
        </w:rPr>
      </w:pPr>
      <w:r>
        <w:rPr>
          <w:rFonts w:hint="eastAsia" w:ascii="宋体" w:hAnsi="宋体" w:cs="宋体"/>
          <w:b/>
          <w:color w:val="auto"/>
          <w:szCs w:val="21"/>
          <w:highlight w:val="none"/>
        </w:rPr>
        <w:t>9.竞争性磋商采购文件的组成</w:t>
      </w:r>
    </w:p>
    <w:p>
      <w:pPr>
        <w:spacing w:line="440" w:lineRule="exact"/>
        <w:ind w:firstLine="140" w:firstLineChars="67"/>
        <w:rPr>
          <w:rFonts w:ascii="宋体" w:hAnsi="宋体" w:cs="宋体"/>
          <w:color w:val="auto"/>
          <w:szCs w:val="21"/>
          <w:highlight w:val="none"/>
        </w:rPr>
      </w:pPr>
      <w:r>
        <w:rPr>
          <w:rFonts w:hint="eastAsia" w:ascii="宋体" w:hAnsi="宋体" w:cs="宋体"/>
          <w:color w:val="auto"/>
          <w:szCs w:val="21"/>
          <w:highlight w:val="none"/>
        </w:rPr>
        <w:t>（1）磋商公告；</w:t>
      </w:r>
    </w:p>
    <w:p>
      <w:pPr>
        <w:spacing w:line="440" w:lineRule="exact"/>
        <w:ind w:firstLine="140" w:firstLineChars="67"/>
        <w:rPr>
          <w:rFonts w:ascii="宋体" w:hAnsi="宋体" w:cs="宋体"/>
          <w:color w:val="auto"/>
          <w:szCs w:val="21"/>
          <w:highlight w:val="none"/>
        </w:rPr>
      </w:pPr>
      <w:r>
        <w:rPr>
          <w:rFonts w:hint="eastAsia" w:ascii="宋体" w:hAnsi="宋体" w:cs="宋体"/>
          <w:color w:val="auto"/>
          <w:szCs w:val="21"/>
          <w:highlight w:val="none"/>
        </w:rPr>
        <w:t>（2）供应商须知；</w:t>
      </w:r>
    </w:p>
    <w:p>
      <w:pPr>
        <w:spacing w:line="440" w:lineRule="exact"/>
        <w:ind w:firstLine="140" w:firstLineChars="67"/>
        <w:rPr>
          <w:rFonts w:ascii="宋体" w:hAnsi="宋体" w:cs="宋体"/>
          <w:color w:val="auto"/>
          <w:szCs w:val="21"/>
          <w:highlight w:val="none"/>
        </w:rPr>
      </w:pPr>
      <w:r>
        <w:rPr>
          <w:rFonts w:hint="eastAsia" w:ascii="宋体" w:hAnsi="宋体" w:cs="宋体"/>
          <w:color w:val="auto"/>
          <w:szCs w:val="21"/>
          <w:highlight w:val="none"/>
        </w:rPr>
        <w:t>（3）项目需求；</w:t>
      </w:r>
    </w:p>
    <w:p>
      <w:pPr>
        <w:spacing w:line="440" w:lineRule="exact"/>
        <w:ind w:firstLine="140" w:firstLineChars="67"/>
        <w:rPr>
          <w:rFonts w:ascii="宋体" w:hAnsi="宋体" w:cs="宋体"/>
          <w:color w:val="auto"/>
          <w:szCs w:val="21"/>
          <w:highlight w:val="none"/>
        </w:rPr>
      </w:pPr>
      <w:r>
        <w:rPr>
          <w:rFonts w:hint="eastAsia" w:ascii="宋体" w:hAnsi="宋体" w:cs="宋体"/>
          <w:color w:val="auto"/>
          <w:szCs w:val="21"/>
          <w:highlight w:val="none"/>
        </w:rPr>
        <w:t>（4）评审办法和定标标准；</w:t>
      </w:r>
    </w:p>
    <w:p>
      <w:pPr>
        <w:spacing w:line="440" w:lineRule="exact"/>
        <w:ind w:firstLine="140" w:firstLineChars="67"/>
        <w:rPr>
          <w:rFonts w:ascii="宋体" w:hAnsi="宋体" w:cs="宋体"/>
          <w:color w:val="auto"/>
          <w:szCs w:val="21"/>
          <w:highlight w:val="none"/>
        </w:rPr>
      </w:pPr>
      <w:r>
        <w:rPr>
          <w:rFonts w:hint="eastAsia" w:ascii="宋体" w:hAnsi="宋体" w:cs="宋体"/>
          <w:color w:val="auto"/>
          <w:szCs w:val="21"/>
          <w:highlight w:val="none"/>
        </w:rPr>
        <w:t>（5）响应文件格式；</w:t>
      </w:r>
    </w:p>
    <w:p>
      <w:pPr>
        <w:spacing w:line="440" w:lineRule="exact"/>
        <w:ind w:firstLine="140" w:firstLineChars="67"/>
        <w:rPr>
          <w:rFonts w:ascii="宋体" w:hAnsi="宋体" w:cs="宋体"/>
          <w:color w:val="auto"/>
          <w:szCs w:val="21"/>
          <w:highlight w:val="none"/>
        </w:rPr>
      </w:pPr>
      <w:r>
        <w:rPr>
          <w:rFonts w:hint="eastAsia" w:ascii="宋体" w:hAnsi="宋体" w:cs="宋体"/>
          <w:color w:val="auto"/>
          <w:szCs w:val="21"/>
          <w:highlight w:val="none"/>
        </w:rPr>
        <w:t>（6）合同主要条款；</w:t>
      </w:r>
    </w:p>
    <w:p>
      <w:pPr>
        <w:spacing w:line="440" w:lineRule="exact"/>
        <w:ind w:firstLine="140" w:firstLineChars="67"/>
        <w:rPr>
          <w:rFonts w:ascii="宋体" w:hAnsi="宋体" w:cs="宋体"/>
          <w:color w:val="auto"/>
          <w:szCs w:val="21"/>
          <w:highlight w:val="none"/>
        </w:rPr>
      </w:pPr>
      <w:r>
        <w:rPr>
          <w:rFonts w:hint="eastAsia" w:ascii="宋体" w:hAnsi="宋体" w:cs="宋体"/>
          <w:color w:val="auto"/>
          <w:szCs w:val="21"/>
          <w:highlight w:val="none"/>
        </w:rPr>
        <w:t>（7）其他资料（如有）。</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10.供应商的风险</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10.1供应商没有按照招标文件要求提供全部资料，或者供应商没有对招标文件在各方面作出实质性响应是供应商的风险，并可能导致其投标被拒绝。</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11.磋商文件的澄清与修改</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11.1供应商应</w:t>
      </w:r>
      <w:r>
        <w:rPr>
          <w:rFonts w:hint="eastAsia" w:ascii="宋体" w:hAnsi="宋体" w:cs="宋体"/>
          <w:bCs/>
          <w:color w:val="auto"/>
          <w:highlight w:val="none"/>
        </w:rPr>
        <w:t>认真阅读本磋商文件，发现</w:t>
      </w:r>
      <w:r>
        <w:rPr>
          <w:rFonts w:hint="eastAsia" w:ascii="宋体" w:hAnsi="宋体" w:cs="宋体"/>
          <w:color w:val="auto"/>
          <w:highlight w:val="none"/>
        </w:rPr>
        <w:t>磋商文件表述不清晰、存在歧视性、排他性或者其他违法内容的，应以书面形式要求招标采购单位作出书面解释、澄清</w:t>
      </w:r>
      <w:r>
        <w:rPr>
          <w:rFonts w:hint="eastAsia" w:ascii="宋体" w:hAnsi="宋体" w:cs="宋体"/>
          <w:color w:val="auto"/>
          <w:szCs w:val="21"/>
          <w:highlight w:val="none"/>
        </w:rPr>
        <w:t>，否则，由此产生的后果由供应商负责。</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11.2任何要求澄清竞争性磋商文件的供应商，均应在首次响应文件递交截止日期三日前的正常工作时间以书面形式通知采购人或采购代理机构，采购人或采购代理机构将以书面形式予以答复。</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11.3采购人或采购代理机构对已发出的磋商文件进行必要澄清或者修改的，澄清和修改对供应商编制响应文件造成实质影响的，在竞争性磋商文件要求提交竞争性磋商响应文件截止时间五日前（不足五日顺延），并将以书面形式通知（在“供应商须知前附表”规定的发布媒体上发布更正公告）所有获取磋商文件的供应商。该澄清或者修改的内容为竞争性磋商文件的组成部分。</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11.4采购人可视具体情况，延长响应文件递交截止时间和开标时间，并在“供应商须知前附表”规定的发布媒体上发布变更公告。</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12.现场考察或答疑会</w:t>
      </w:r>
    </w:p>
    <w:p>
      <w:pPr>
        <w:spacing w:line="440" w:lineRule="exact"/>
        <w:ind w:left="2"/>
        <w:rPr>
          <w:rFonts w:ascii="宋体" w:hAnsi="宋体" w:cs="宋体"/>
          <w:color w:val="auto"/>
          <w:szCs w:val="21"/>
          <w:highlight w:val="none"/>
        </w:rPr>
      </w:pPr>
      <w:r>
        <w:rPr>
          <w:rFonts w:hint="eastAsia" w:ascii="宋体" w:hAnsi="宋体" w:cs="宋体"/>
          <w:color w:val="auto"/>
          <w:szCs w:val="21"/>
          <w:highlight w:val="none"/>
        </w:rPr>
        <w:t>12.1采购人可以视采购项目的具体情况，按须知前附表的规定组织供应商进行现场考察或召开磋商前答疑会，但不得单独或分别组织只有一个供应商参加的现场考察和答疑会。</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12.2供应商考察现场或参加答疑会发生的费用自理。</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12.3供应商自行负责在考察现场或参加答疑会中所发生的人员伤亡和财产损失。</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三、响应文件的编制</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13.响应文件的组成</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响应文件由资格证明文件、商务和技术文件、报价文件组成。</w:t>
      </w:r>
    </w:p>
    <w:p>
      <w:pPr>
        <w:pStyle w:val="23"/>
        <w:spacing w:line="440" w:lineRule="exact"/>
        <w:rPr>
          <w:rFonts w:hAnsi="宋体" w:cs="宋体"/>
          <w:b/>
          <w:color w:val="auto"/>
          <w:sz w:val="21"/>
          <w:highlight w:val="none"/>
        </w:rPr>
      </w:pPr>
      <w:r>
        <w:rPr>
          <w:rFonts w:hint="eastAsia" w:hAnsi="宋体" w:cs="宋体"/>
          <w:b/>
          <w:color w:val="auto"/>
          <w:sz w:val="21"/>
          <w:highlight w:val="none"/>
        </w:rPr>
        <w:t>13.1资格证明文件（以下文件标注“▲”的必须提供，否则投标无效，其他可根据实际情况提供）</w:t>
      </w:r>
    </w:p>
    <w:p>
      <w:pPr>
        <w:pStyle w:val="23"/>
        <w:spacing w:line="440" w:lineRule="exact"/>
        <w:ind w:firstLine="405"/>
        <w:rPr>
          <w:rFonts w:hAnsi="宋体" w:cs="宋体"/>
          <w:b/>
          <w:color w:val="auto"/>
          <w:sz w:val="21"/>
          <w:highlight w:val="none"/>
        </w:rPr>
      </w:pPr>
      <w:r>
        <w:rPr>
          <w:rFonts w:hint="eastAsia" w:hAnsi="宋体" w:cs="宋体"/>
          <w:b/>
          <w:color w:val="auto"/>
          <w:sz w:val="21"/>
          <w:highlight w:val="none"/>
        </w:rPr>
        <w:t>▲注：以下各项属于均要加盖供应商电子公章。联合体投标时，第2-10项资格证明文件联合体各方均必须分别提供，联合体各方分别盖章和签字，否则响应文件按无效响应处理。</w:t>
      </w:r>
    </w:p>
    <w:p>
      <w:pPr>
        <w:snapToGrid w:val="0"/>
        <w:spacing w:line="440" w:lineRule="exact"/>
        <w:ind w:firstLine="413" w:firstLineChars="196"/>
        <w:jc w:val="left"/>
        <w:rPr>
          <w:rFonts w:ascii="宋体" w:hAnsi="宋体" w:cs="宋体"/>
          <w:color w:val="auto"/>
          <w:szCs w:val="21"/>
          <w:highlight w:val="none"/>
        </w:rPr>
      </w:pPr>
      <w:r>
        <w:rPr>
          <w:rFonts w:hint="eastAsia" w:ascii="宋体" w:hAnsi="宋体" w:cs="宋体"/>
          <w:b/>
          <w:color w:val="auto"/>
          <w:szCs w:val="21"/>
          <w:highlight w:val="none"/>
        </w:rPr>
        <w:t>▲</w:t>
      </w:r>
      <w:r>
        <w:rPr>
          <w:rFonts w:hint="eastAsia" w:ascii="宋体" w:hAnsi="宋体" w:cs="宋体"/>
          <w:color w:val="auto"/>
          <w:szCs w:val="21"/>
          <w:highlight w:val="none"/>
        </w:rPr>
        <w:t>（</w:t>
      </w:r>
      <w:r>
        <w:rPr>
          <w:rFonts w:hint="eastAsia" w:ascii="宋体" w:hAnsi="宋体" w:cs="宋体"/>
          <w:bCs/>
          <w:color w:val="auto"/>
          <w:szCs w:val="21"/>
          <w:highlight w:val="none"/>
        </w:rPr>
        <w:t>1</w:t>
      </w:r>
      <w:r>
        <w:rPr>
          <w:rFonts w:hint="eastAsia" w:ascii="宋体" w:hAnsi="宋体" w:cs="宋体"/>
          <w:color w:val="auto"/>
          <w:szCs w:val="21"/>
          <w:highlight w:val="none"/>
        </w:rPr>
        <w:t>）磋商声明书(按第四章要求格式填写)；</w:t>
      </w:r>
    </w:p>
    <w:p>
      <w:pPr>
        <w:snapToGrid w:val="0"/>
        <w:spacing w:line="44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▲（2）响应供应商合法的主体资格证明（如营业执照、事业单位法人证书、执业许可证、个体工商户营业执照、自然人身份证等）复印件</w:t>
      </w:r>
      <w:r>
        <w:rPr>
          <w:rFonts w:hint="eastAsia" w:ascii="宋体" w:hAnsi="宋体" w:cs="宋体"/>
          <w:bCs/>
          <w:color w:val="auto"/>
          <w:szCs w:val="21"/>
          <w:highlight w:val="none"/>
        </w:rPr>
        <w:t>；</w:t>
      </w:r>
    </w:p>
    <w:p>
      <w:pPr>
        <w:snapToGrid w:val="0"/>
        <w:spacing w:line="44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响应供应商依法缴纳税收的相关材料（2024年11月至2025年4月内任意连续3个月的依法缴纳税收的证明材料（凭证或税务机关出具的证明）复印件（或扫描件）；依法免税的供应商，必须提供相应文件证明其依法免税。从成立之日起到投标文件提交截止时间止不足要求月数的，只需提供从成立之日起的依法缴纳税收相应证明文件）；</w:t>
      </w:r>
    </w:p>
    <w:p>
      <w:pPr>
        <w:snapToGrid w:val="0"/>
        <w:spacing w:line="44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4）响应供应商依法缴纳社会保障资金的相关材料（2024年11月至2025年4月内任意连续3个月的依法缴纳社会保障资金的缴费凭证（专用收据或者社会保险缴纳清单或者社保部门出具的证明文件）复印件（或扫描件）；依法不需要缴纳社会保障资金的供应商，必须提供相应文件证明不需要缴纳社会保障资金；如供应商社保由上级公司缴纳的，须提供以下资料：上级公司营业执照副本复印件；上级公司出具的社保缴纳情况说明原件（附供应商拟投入人员名单）；上级公司于开标前最近一次社会保障资金的缴费凭证；上级公司于开标前最近一次缴纳社会保险的供应商拟投入人员明细；从成立之日起到投标文件提交截止时间止不足要求月数的只需提供从成立之日起的依法缴纳社会保障资金的相应证明文件）；</w:t>
      </w:r>
    </w:p>
    <w:p>
      <w:pPr>
        <w:snapToGrid w:val="0"/>
        <w:spacing w:line="440" w:lineRule="exact"/>
        <w:ind w:firstLine="411" w:firstLineChars="196"/>
        <w:jc w:val="left"/>
        <w:rPr>
          <w:rFonts w:ascii="宋体" w:hAnsi="宋体" w:cs="宋体"/>
          <w:color w:val="auto"/>
          <w:szCs w:val="21"/>
          <w:highlight w:val="none"/>
        </w:rPr>
      </w:pPr>
      <w:r>
        <w:rPr>
          <w:rFonts w:hint="eastAsia" w:ascii="宋体" w:hAnsi="宋体" w:cs="宋体"/>
          <w:color w:val="auto"/>
          <w:highlight w:val="none"/>
        </w:rPr>
        <w:t>▲（5）</w:t>
      </w:r>
      <w:r>
        <w:rPr>
          <w:rFonts w:hint="eastAsia" w:ascii="宋体" w:hAnsi="宋体" w:cs="宋体"/>
          <w:color w:val="auto"/>
          <w:szCs w:val="21"/>
          <w:highlight w:val="none"/>
        </w:rPr>
        <w:t>响应供应商</w:t>
      </w:r>
      <w:r>
        <w:rPr>
          <w:rFonts w:hint="eastAsia" w:ascii="宋体" w:hAnsi="宋体" w:cs="宋体"/>
          <w:color w:val="auto"/>
          <w:highlight w:val="none"/>
        </w:rPr>
        <w:t>2023年或2024年财务状况报告复印件【①可以是经会计师事务所审计的财务报告，或是本公司出具的财务报表；②新近成立不足半年的公司按实际提供财务报表】，或者银行出具的资信证明（说明：资信证明指：反映供应商资金结算无异常，无违规透支，无理拒付、无逾期（垫款）和欠息等不良记录，结算纪律良好的相关证明，并非指存款证明。如所提供该证明仅为存款数额信息的将作无效证明处理，并按无效投标处理）；</w:t>
      </w:r>
    </w:p>
    <w:p>
      <w:pPr>
        <w:spacing w:line="440" w:lineRule="exact"/>
        <w:ind w:firstLine="420" w:firstLineChars="200"/>
        <w:rPr>
          <w:rFonts w:ascii="宋体" w:hAnsi="宋体" w:cs="宋体"/>
          <w:color w:val="auto"/>
          <w:highlight w:val="none"/>
        </w:rPr>
      </w:pPr>
      <w:r>
        <w:rPr>
          <w:rFonts w:hint="eastAsia" w:ascii="宋体" w:hAnsi="宋体" w:cs="宋体"/>
          <w:color w:val="auto"/>
          <w:highlight w:val="none"/>
        </w:rPr>
        <w:t>▲（6）参加政府采购活动前三年内在经营活动中没有重大违法记录和不良信用记录的书面声明书（格式自拟）；</w:t>
      </w:r>
    </w:p>
    <w:p>
      <w:pPr>
        <w:snapToGrid w:val="0"/>
        <w:spacing w:line="440" w:lineRule="exact"/>
        <w:ind w:firstLine="411" w:firstLineChars="196"/>
        <w:jc w:val="left"/>
        <w:rPr>
          <w:rFonts w:ascii="宋体" w:hAnsi="宋体" w:cs="宋体"/>
          <w:color w:val="auto"/>
          <w:szCs w:val="21"/>
          <w:highlight w:val="none"/>
        </w:rPr>
      </w:pPr>
      <w:r>
        <w:rPr>
          <w:rFonts w:hint="eastAsia" w:ascii="宋体" w:hAnsi="宋体" w:cs="宋体"/>
          <w:color w:val="auto"/>
          <w:highlight w:val="none"/>
        </w:rPr>
        <w:t>（7）</w:t>
      </w:r>
      <w:r>
        <w:rPr>
          <w:rFonts w:hint="eastAsia" w:ascii="宋体" w:hAnsi="宋体" w:cs="宋体"/>
          <w:color w:val="auto"/>
          <w:szCs w:val="21"/>
          <w:highlight w:val="none"/>
        </w:rPr>
        <w:t>供应商如为分支机构投标的，须提供其总公司“营业执照”副本复印件和总公司对供应商参与本项目投标的授权书原件；</w:t>
      </w:r>
    </w:p>
    <w:p>
      <w:pPr>
        <w:snapToGrid w:val="0"/>
        <w:spacing w:line="440" w:lineRule="exact"/>
        <w:ind w:firstLine="411" w:firstLineChars="196"/>
        <w:jc w:val="left"/>
        <w:rPr>
          <w:rFonts w:ascii="宋体" w:hAnsi="宋体" w:cs="宋体"/>
          <w:color w:val="auto"/>
          <w:szCs w:val="21"/>
          <w:highlight w:val="none"/>
        </w:rPr>
      </w:pPr>
      <w:r>
        <w:rPr>
          <w:rFonts w:hint="eastAsia" w:ascii="宋体" w:hAnsi="宋体" w:cs="宋体"/>
          <w:color w:val="auto"/>
          <w:highlight w:val="none"/>
        </w:rPr>
        <w:t>▲（8）</w:t>
      </w:r>
      <w:r>
        <w:rPr>
          <w:rFonts w:hint="eastAsia" w:ascii="宋体" w:hAnsi="宋体" w:cs="宋体"/>
          <w:color w:val="auto"/>
          <w:szCs w:val="21"/>
          <w:highlight w:val="none"/>
        </w:rPr>
        <w:t>供应商直接控股、管理关系信息表(按第四章要求格式填写)；</w:t>
      </w:r>
    </w:p>
    <w:p>
      <w:pPr>
        <w:snapToGrid w:val="0"/>
        <w:spacing w:line="440" w:lineRule="exact"/>
        <w:ind w:firstLine="621" w:firstLineChars="296"/>
        <w:jc w:val="left"/>
        <w:rPr>
          <w:rFonts w:ascii="宋体" w:hAnsi="宋体" w:cs="宋体"/>
          <w:color w:val="auto"/>
          <w:szCs w:val="21"/>
          <w:highlight w:val="none"/>
        </w:rPr>
      </w:pPr>
      <w:r>
        <w:rPr>
          <w:rFonts w:hint="eastAsia" w:ascii="宋体" w:hAnsi="宋体" w:cs="宋体"/>
          <w:color w:val="auto"/>
          <w:szCs w:val="21"/>
          <w:highlight w:val="none"/>
        </w:rPr>
        <w:t>（9）联合体协议书；（联合体投标时必须提供，否则响应文件按无效响应处理）</w:t>
      </w:r>
    </w:p>
    <w:p>
      <w:pPr>
        <w:snapToGrid w:val="0"/>
        <w:spacing w:line="440" w:lineRule="exact"/>
        <w:ind w:firstLine="411" w:firstLineChars="196"/>
        <w:jc w:val="left"/>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bCs w:val="0"/>
          <w:color w:val="auto"/>
          <w:highlight w:val="none"/>
        </w:rPr>
        <w:t>（10）</w:t>
      </w:r>
      <w:r>
        <w:rPr>
          <w:rFonts w:hint="eastAsia" w:ascii="宋体" w:hAnsi="宋体" w:eastAsia="宋体" w:cs="宋体"/>
          <w:color w:val="auto"/>
          <w:highlight w:val="none"/>
        </w:rPr>
        <w:t>特定资格条件：（如有要求则必须提供，否则响应文件按无效响应处理）</w:t>
      </w:r>
    </w:p>
    <w:p>
      <w:pPr>
        <w:snapToGrid w:val="0"/>
        <w:spacing w:line="440" w:lineRule="exact"/>
        <w:ind w:firstLine="411" w:firstLineChars="196"/>
        <w:jc w:val="left"/>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szCs w:val="24"/>
          <w:highlight w:val="none"/>
        </w:rPr>
        <w:t>（11）中小企业声明函或监狱企业由省级以上监狱管理局、戒毒管理局（含新疆生产建设兵团）出具的属于监狱企业的证明文件或残疾人福利性单位声明函</w:t>
      </w:r>
      <w:r>
        <w:rPr>
          <w:rFonts w:hint="eastAsia" w:ascii="宋体" w:hAnsi="宋体" w:eastAsia="宋体" w:cs="宋体"/>
          <w:b w:val="0"/>
          <w:bCs w:val="0"/>
          <w:color w:val="auto"/>
          <w:szCs w:val="24"/>
          <w:highlight w:val="none"/>
        </w:rPr>
        <w:t>（</w:t>
      </w:r>
      <w:r>
        <w:rPr>
          <w:rFonts w:hint="eastAsia" w:ascii="宋体" w:hAnsi="宋体" w:eastAsia="宋体" w:cs="宋体"/>
          <w:b w:val="0"/>
          <w:bCs w:val="0"/>
          <w:color w:val="auto"/>
          <w:szCs w:val="24"/>
          <w:highlight w:val="none"/>
          <w:lang w:val="zh-CN"/>
        </w:rPr>
        <w:t>标项二、标项三、标项五、</w:t>
      </w:r>
      <w:r>
        <w:rPr>
          <w:rFonts w:hint="eastAsia" w:ascii="宋体" w:hAnsi="宋体" w:eastAsia="宋体" w:cs="宋体"/>
          <w:b w:val="0"/>
          <w:bCs w:val="0"/>
          <w:color w:val="auto"/>
          <w:szCs w:val="24"/>
          <w:highlight w:val="none"/>
          <w:lang w:val="en-US" w:eastAsia="zh-CN"/>
        </w:rPr>
        <w:t>标项七</w:t>
      </w:r>
      <w:r>
        <w:rPr>
          <w:rFonts w:hint="eastAsia" w:ascii="宋体" w:hAnsi="宋体" w:eastAsia="宋体" w:cs="宋体"/>
          <w:b w:val="0"/>
          <w:bCs w:val="0"/>
          <w:color w:val="auto"/>
          <w:szCs w:val="24"/>
          <w:highlight w:val="none"/>
        </w:rPr>
        <w:t>必须提供，</w:t>
      </w:r>
      <w:r>
        <w:rPr>
          <w:rFonts w:hint="eastAsia" w:ascii="宋体" w:hAnsi="宋体" w:eastAsia="宋体" w:cs="宋体"/>
          <w:b w:val="0"/>
          <w:bCs w:val="0"/>
          <w:color w:val="auto"/>
          <w:highlight w:val="none"/>
        </w:rPr>
        <w:t>否则投标无效</w:t>
      </w:r>
      <w:r>
        <w:rPr>
          <w:rFonts w:hint="eastAsia" w:ascii="宋体" w:hAnsi="宋体" w:eastAsia="宋体" w:cs="宋体"/>
          <w:b w:val="0"/>
          <w:bCs w:val="0"/>
          <w:color w:val="auto"/>
          <w:szCs w:val="24"/>
          <w:highlight w:val="none"/>
        </w:rPr>
        <w:t>）</w:t>
      </w:r>
    </w:p>
    <w:p>
      <w:pPr>
        <w:snapToGrid w:val="0"/>
        <w:spacing w:before="120" w:beforeLines="50" w:line="440" w:lineRule="exact"/>
        <w:jc w:val="left"/>
        <w:rPr>
          <w:rFonts w:ascii="宋体" w:hAnsi="宋体" w:cs="宋体"/>
          <w:color w:val="auto"/>
          <w:szCs w:val="21"/>
          <w:highlight w:val="none"/>
        </w:rPr>
      </w:pPr>
      <w:r>
        <w:rPr>
          <w:rFonts w:hint="eastAsia" w:ascii="宋体" w:hAnsi="宋体" w:cs="宋体"/>
          <w:b/>
          <w:color w:val="auto"/>
          <w:szCs w:val="21"/>
          <w:highlight w:val="none"/>
        </w:rPr>
        <w:t>13.2商务和技术文件（以下文件标注“▲”的必须提供，“招标项目采购需求”要求“必须提供”的必须提供，其他可根据实际情况提供，</w:t>
      </w:r>
      <w:r>
        <w:rPr>
          <w:rFonts w:hint="eastAsia" w:ascii="宋体" w:hAnsi="宋体" w:cs="宋体"/>
          <w:b/>
          <w:color w:val="auto"/>
          <w:highlight w:val="none"/>
        </w:rPr>
        <w:t>第</w:t>
      </w:r>
      <w:r>
        <w:rPr>
          <w:rFonts w:hint="eastAsia" w:ascii="宋体" w:hAnsi="宋体" w:cs="宋体"/>
          <w:b/>
          <w:color w:val="auto"/>
          <w:szCs w:val="21"/>
          <w:highlight w:val="none"/>
        </w:rPr>
        <w:t>（1）（2）项由法定代表人签名，否则其投标无效</w:t>
      </w:r>
      <w:r>
        <w:rPr>
          <w:rFonts w:hint="eastAsia" w:ascii="宋体" w:hAnsi="宋体" w:cs="宋体"/>
          <w:color w:val="auto"/>
          <w:szCs w:val="21"/>
          <w:highlight w:val="none"/>
        </w:rPr>
        <w:t>）</w:t>
      </w:r>
    </w:p>
    <w:p>
      <w:pPr>
        <w:snapToGrid w:val="0"/>
        <w:spacing w:line="440" w:lineRule="exact"/>
        <w:ind w:firstLine="422" w:firstLineChars="200"/>
        <w:jc w:val="left"/>
        <w:rPr>
          <w:rFonts w:ascii="宋体" w:hAnsi="宋体" w:cs="宋体"/>
          <w:b/>
          <w:color w:val="auto"/>
          <w:highlight w:val="none"/>
        </w:rPr>
      </w:pPr>
      <w:r>
        <w:rPr>
          <w:rFonts w:hint="eastAsia" w:ascii="宋体" w:hAnsi="宋体" w:cs="宋体"/>
          <w:b/>
          <w:color w:val="auto"/>
          <w:highlight w:val="none"/>
        </w:rPr>
        <w:t>▲注：以下标注“▲”均要加盖供应商单位电子公章</w:t>
      </w:r>
      <w:r>
        <w:rPr>
          <w:rFonts w:hint="eastAsia" w:ascii="宋体" w:hAnsi="宋体" w:cs="宋体"/>
          <w:b/>
          <w:bCs/>
          <w:color w:val="auto"/>
          <w:szCs w:val="21"/>
          <w:highlight w:val="none"/>
        </w:rPr>
        <w:t>或</w:t>
      </w:r>
      <w:r>
        <w:rPr>
          <w:rFonts w:hint="eastAsia" w:ascii="宋体" w:hAnsi="宋体" w:cs="宋体"/>
          <w:b/>
          <w:color w:val="auto"/>
          <w:highlight w:val="none"/>
        </w:rPr>
        <w:t>自然人加盖手指指印，否则其投标无效。</w:t>
      </w:r>
    </w:p>
    <w:p>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▲（1）法定代表人身份证明书(按第四章要求格式填写)；</w:t>
      </w:r>
    </w:p>
    <w:p>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▲（2）法定代表人授权委托书及被授权委托人身份证复印件(委托代理时，按第四章要求格式填写)；</w:t>
      </w:r>
    </w:p>
    <w:p>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（3）供应商情况介绍（格式自拟）；</w:t>
      </w:r>
    </w:p>
    <w:p>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▲（4）商务响应表(按第四章要求格式填写)；</w:t>
      </w:r>
    </w:p>
    <w:p>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▲（5）技术响应表(按第四章要求格式填写，附“第三章采购需求”中要求提供的相关材料)；</w:t>
      </w:r>
    </w:p>
    <w:p>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▲（6）拟投入人员汇总表（附拟投入人员相关证书复印件，</w:t>
      </w:r>
      <w:r>
        <w:rPr>
          <w:rFonts w:hint="eastAsia" w:ascii="宋体" w:hAnsi="宋体" w:cs="宋体"/>
          <w:bCs/>
          <w:color w:val="auto"/>
          <w:szCs w:val="21"/>
          <w:highlight w:val="none"/>
        </w:rPr>
        <w:t>按第四章格式填写</w:t>
      </w:r>
      <w:r>
        <w:rPr>
          <w:rFonts w:hint="eastAsia" w:ascii="宋体" w:hAnsi="宋体" w:cs="宋体"/>
          <w:color w:val="auto"/>
          <w:szCs w:val="21"/>
          <w:highlight w:val="none"/>
        </w:rPr>
        <w:t>）</w:t>
      </w:r>
    </w:p>
    <w:p>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▲（7）项目实施方案；(按第四章要求格式填写)；</w:t>
      </w:r>
    </w:p>
    <w:p>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▲（8）服务承诺书（按第四章格式填写）；</w:t>
      </w:r>
    </w:p>
    <w:p>
      <w:pPr>
        <w:snapToGrid w:val="0"/>
        <w:spacing w:line="440" w:lineRule="exact"/>
        <w:ind w:firstLine="411" w:firstLineChars="196"/>
        <w:jc w:val="left"/>
        <w:rPr>
          <w:rFonts w:ascii="宋体" w:hAnsi="宋体" w:cs="宋体"/>
          <w:color w:val="auto"/>
          <w:highlight w:val="none"/>
        </w:rPr>
      </w:pPr>
      <w:r>
        <w:rPr>
          <w:rFonts w:hint="eastAsia" w:ascii="宋体" w:hAnsi="宋体" w:cs="宋体"/>
          <w:color w:val="auto"/>
          <w:highlight w:val="none"/>
        </w:rPr>
        <w:t>（9）代理服务费承诺书(按第四章要求格式填写)；</w:t>
      </w:r>
    </w:p>
    <w:p>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（10）供应商对本项目的合理化建议和改进措施（格式自拟）；</w:t>
      </w:r>
    </w:p>
    <w:p>
      <w:pPr>
        <w:snapToGrid w:val="0"/>
        <w:spacing w:line="440" w:lineRule="exact"/>
        <w:ind w:firstLine="411" w:firstLineChars="196"/>
        <w:jc w:val="left"/>
        <w:rPr>
          <w:rFonts w:ascii="宋体" w:hAnsi="宋体" w:cs="宋体"/>
          <w:color w:val="auto"/>
          <w:highlight w:val="none"/>
        </w:rPr>
      </w:pPr>
      <w:r>
        <w:rPr>
          <w:rFonts w:hint="eastAsia" w:ascii="宋体" w:hAnsi="宋体" w:cs="宋体"/>
          <w:color w:val="auto"/>
          <w:szCs w:val="21"/>
          <w:highlight w:val="none"/>
        </w:rPr>
        <w:t>（11）</w:t>
      </w:r>
      <w:r>
        <w:rPr>
          <w:rFonts w:hint="eastAsia" w:ascii="宋体" w:hAnsi="宋体" w:cs="宋体"/>
          <w:color w:val="auto"/>
          <w:highlight w:val="none"/>
        </w:rPr>
        <w:t>供应商认为需要提供的其他证明材料。（供应商根据“第三章项目采购需求”及“第六章评标方法及评标标准”提供有关证明材料）。</w:t>
      </w:r>
    </w:p>
    <w:p>
      <w:pPr>
        <w:snapToGrid w:val="0"/>
        <w:spacing w:before="120" w:beforeLines="50" w:line="440" w:lineRule="exact"/>
        <w:jc w:val="left"/>
        <w:rPr>
          <w:rFonts w:ascii="宋体" w:hAnsi="宋体" w:cs="宋体"/>
          <w:color w:val="auto"/>
          <w:szCs w:val="21"/>
          <w:highlight w:val="none"/>
        </w:rPr>
      </w:pPr>
      <w:r>
        <w:rPr>
          <w:rFonts w:hint="eastAsia" w:ascii="宋体" w:hAnsi="宋体" w:cs="宋体"/>
          <w:b/>
          <w:color w:val="auto"/>
          <w:szCs w:val="21"/>
          <w:highlight w:val="none"/>
        </w:rPr>
        <w:t>13.3报价文件（以下文件标注“▲”的必须提供，要求“必须提供”的必须提供，其他可根据实际情况提供</w:t>
      </w:r>
      <w:r>
        <w:rPr>
          <w:rFonts w:hint="eastAsia" w:ascii="宋体" w:hAnsi="宋体" w:cs="宋体"/>
          <w:color w:val="auto"/>
          <w:szCs w:val="21"/>
          <w:highlight w:val="none"/>
        </w:rPr>
        <w:t>）</w:t>
      </w:r>
    </w:p>
    <w:p>
      <w:pPr>
        <w:snapToGrid w:val="0"/>
        <w:spacing w:line="440" w:lineRule="exact"/>
        <w:ind w:firstLine="422" w:firstLineChars="200"/>
        <w:jc w:val="left"/>
        <w:rPr>
          <w:rFonts w:ascii="宋体" w:hAnsi="宋体" w:cs="宋体"/>
          <w:b/>
          <w:color w:val="auto"/>
          <w:highlight w:val="none"/>
        </w:rPr>
      </w:pPr>
      <w:r>
        <w:rPr>
          <w:rFonts w:hint="eastAsia" w:ascii="宋体" w:hAnsi="宋体" w:cs="宋体"/>
          <w:b/>
          <w:color w:val="auto"/>
          <w:highlight w:val="none"/>
        </w:rPr>
        <w:t>▲注：以下标注“▲”均要加盖供应商单位电子公章</w:t>
      </w:r>
      <w:r>
        <w:rPr>
          <w:rFonts w:hint="eastAsia" w:ascii="宋体" w:hAnsi="宋体" w:cs="宋体"/>
          <w:b/>
          <w:bCs/>
          <w:color w:val="auto"/>
          <w:szCs w:val="21"/>
          <w:highlight w:val="none"/>
        </w:rPr>
        <w:t>或</w:t>
      </w:r>
      <w:r>
        <w:rPr>
          <w:rFonts w:hint="eastAsia" w:ascii="宋体" w:hAnsi="宋体" w:cs="宋体"/>
          <w:b/>
          <w:color w:val="auto"/>
          <w:highlight w:val="none"/>
        </w:rPr>
        <w:t>自然人加盖手指指印，否则其投标无效。</w:t>
      </w:r>
    </w:p>
    <w:p>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▲（1）竞标函（按第四章要求格式填写）；</w:t>
      </w:r>
    </w:p>
    <w:p>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▲（2）报价表(按第四章要求格式填写)；</w:t>
      </w:r>
    </w:p>
    <w:p>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（3）中小企业声明函（供应商如为中小微型企业的请按第四章要求的格式提供，否则不予享受优惠政策）；</w:t>
      </w:r>
    </w:p>
    <w:p>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（4）监狱企业由省级以上监狱管理局、戒毒管理局（含新疆生产建设兵团）出具的属于监狱企业的证明文件；</w:t>
      </w:r>
    </w:p>
    <w:p>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（5）残疾人福利性单位声明函（供应商如为残疾人福利性单位的请按第四章要求的格式提供，否则不予享受优惠政策）；</w:t>
      </w:r>
    </w:p>
    <w:p>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（6）供应商针对报价需要说明的其他文件和说明（如有，格式自拟）</w:t>
      </w:r>
    </w:p>
    <w:p>
      <w:pPr>
        <w:snapToGrid w:val="0"/>
        <w:spacing w:line="440" w:lineRule="exact"/>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注：若</w:t>
      </w:r>
      <w:r>
        <w:rPr>
          <w:rFonts w:hint="eastAsia" w:ascii="宋体" w:hAnsi="宋体" w:cs="宋体"/>
          <w:b/>
          <w:bCs/>
          <w:color w:val="auto"/>
          <w:highlight w:val="none"/>
        </w:rPr>
        <w:t>竞争性磋商</w:t>
      </w:r>
      <w:r>
        <w:rPr>
          <w:rFonts w:hint="eastAsia" w:ascii="宋体" w:hAnsi="宋体" w:cs="宋体"/>
          <w:b/>
          <w:bCs/>
          <w:color w:val="auto"/>
          <w:szCs w:val="21"/>
          <w:highlight w:val="none"/>
        </w:rPr>
        <w:t>文件中有专门标注的某关联点，并要求供应商在电子投标系统中作出响应的，如供应商未对关联点进行响应或者在响应文件其它内容进行描述，造成电子评审不能查询的责任由供应商自行承担。</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14.响应文件的语言及计量</w:t>
      </w:r>
    </w:p>
    <w:p>
      <w:pPr>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14.1响应文件以及竞标方与招标方就有关竞标事宜的所有来往函电，均应以中文汉语书写。除签名、盖章、专用名称等特殊情形外，以中文汉语以外的文字表述的响应文件视同未提供。</w:t>
      </w:r>
    </w:p>
    <w:p>
      <w:pPr>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14.2竞标计量单位，磋商文件已有明确规定的，使用磋商文件规定的计量单位；磋商文件没有规定的，应采用中华人民共和国法定计量单位（货币单位：人民币元），否则视同未响应。</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15、响应文件报价要求</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15.1本项目最高限价详见须知前附表。响应文件</w:t>
      </w:r>
      <w:r>
        <w:rPr>
          <w:rFonts w:hint="eastAsia" w:ascii="宋体" w:hAnsi="宋体" w:cs="宋体"/>
          <w:color w:val="auto"/>
          <w:highlight w:val="none"/>
        </w:rPr>
        <w:t>报价须小于等于最高限价，否则响应无效。</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15.2对于本磋商采购文件中未列明，而供应商认为必需的费用也需列入总报价。在合同实施时，采购人将不予支付成交供应商没有列入的项目费用，并认为此项目的费用已包括在总报价中。</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15.3成交供应商负责本项目所需服务的全部工作，包含完成本项目所需的人力成本（含人员工资、福利、各种保险）、交通、设备费、场地使用费、材料费、验收费、利润、税金等一切可能发生的费用。</w:t>
      </w:r>
    </w:p>
    <w:p>
      <w:pPr>
        <w:spacing w:line="440" w:lineRule="exact"/>
        <w:ind w:left="420" w:hanging="420"/>
        <w:rPr>
          <w:rFonts w:ascii="宋体" w:hAnsi="宋体" w:cs="宋体"/>
          <w:color w:val="auto"/>
          <w:szCs w:val="21"/>
          <w:highlight w:val="none"/>
        </w:rPr>
      </w:pPr>
      <w:r>
        <w:rPr>
          <w:rFonts w:hint="eastAsia" w:ascii="宋体" w:hAnsi="宋体" w:cs="宋体"/>
          <w:color w:val="auto"/>
          <w:szCs w:val="21"/>
          <w:highlight w:val="none"/>
        </w:rPr>
        <w:t>15.4供应商应就第三章《项目采购需求》中的全部服务内容作完整唯一报价。</w:t>
      </w:r>
    </w:p>
    <w:p>
      <w:pPr>
        <w:spacing w:line="440" w:lineRule="exact"/>
        <w:ind w:left="420" w:hanging="420"/>
        <w:rPr>
          <w:rFonts w:ascii="宋体" w:hAnsi="宋体" w:cs="宋体"/>
          <w:color w:val="auto"/>
          <w:szCs w:val="21"/>
          <w:highlight w:val="none"/>
        </w:rPr>
      </w:pPr>
      <w:r>
        <w:rPr>
          <w:rFonts w:hint="eastAsia" w:ascii="宋体" w:hAnsi="宋体" w:cs="宋体"/>
          <w:color w:val="auto"/>
          <w:szCs w:val="21"/>
          <w:highlight w:val="none"/>
        </w:rPr>
        <w:t>15.5响应文件只允许有一个报价，有选择的或有条件的报价将不予接受（磋商文件另有规定的除外）。</w:t>
      </w:r>
    </w:p>
    <w:p>
      <w:pPr>
        <w:spacing w:line="440" w:lineRule="exact"/>
        <w:rPr>
          <w:rFonts w:ascii="宋体" w:hAnsi="宋体" w:cs="宋体"/>
          <w:color w:val="auto"/>
          <w:highlight w:val="none"/>
        </w:rPr>
      </w:pPr>
      <w:r>
        <w:rPr>
          <w:rFonts w:hint="eastAsia" w:ascii="宋体" w:hAnsi="宋体" w:cs="宋体"/>
          <w:color w:val="auto"/>
          <w:szCs w:val="21"/>
          <w:highlight w:val="none"/>
        </w:rPr>
        <w:t>15.6</w:t>
      </w:r>
      <w:r>
        <w:rPr>
          <w:rFonts w:hint="eastAsia" w:ascii="宋体" w:hAnsi="宋体" w:cs="宋体"/>
          <w:color w:val="auto"/>
          <w:highlight w:val="none"/>
        </w:rPr>
        <w:t>供应商应在响应文件报价表上标明单价和总价。响应文件的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供应商原因引起的报价失误，并在磋商时被接受，其后果由供应商自负。</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16、响应文件有效期</w:t>
      </w:r>
    </w:p>
    <w:p>
      <w:pPr>
        <w:spacing w:line="440" w:lineRule="exact"/>
        <w:ind w:left="420" w:hanging="420"/>
        <w:rPr>
          <w:rFonts w:ascii="宋体" w:hAnsi="宋体" w:cs="宋体"/>
          <w:color w:val="auto"/>
          <w:highlight w:val="none"/>
        </w:rPr>
      </w:pPr>
      <w:r>
        <w:rPr>
          <w:rFonts w:hint="eastAsia" w:ascii="宋体" w:hAnsi="宋体" w:cs="宋体"/>
          <w:color w:val="auto"/>
          <w:highlight w:val="none"/>
        </w:rPr>
        <w:t>16.1响应文件有效期：详见供应商须知前附表。有效期不足的响应文件将被拒绝。</w:t>
      </w:r>
    </w:p>
    <w:p>
      <w:pPr>
        <w:pStyle w:val="23"/>
        <w:snapToGrid w:val="0"/>
        <w:spacing w:line="440" w:lineRule="exact"/>
        <w:jc w:val="left"/>
        <w:rPr>
          <w:rFonts w:hAnsi="宋体" w:cs="宋体"/>
          <w:color w:val="auto"/>
          <w:kern w:val="2"/>
          <w:sz w:val="21"/>
          <w:szCs w:val="24"/>
          <w:highlight w:val="none"/>
        </w:rPr>
      </w:pPr>
      <w:r>
        <w:rPr>
          <w:rFonts w:hint="eastAsia" w:hAnsi="宋体" w:cs="宋体"/>
          <w:color w:val="auto"/>
          <w:kern w:val="2"/>
          <w:sz w:val="21"/>
          <w:szCs w:val="24"/>
          <w:highlight w:val="none"/>
        </w:rPr>
        <w:t>16.2在特殊情况下，采购人可与供应商协商延长响应文件的有效期，这种要求和答复均以书面形式进行。</w:t>
      </w:r>
    </w:p>
    <w:p>
      <w:pPr>
        <w:pStyle w:val="23"/>
        <w:snapToGrid w:val="0"/>
        <w:spacing w:line="440" w:lineRule="exact"/>
        <w:jc w:val="left"/>
        <w:rPr>
          <w:rFonts w:hAnsi="宋体" w:cs="宋体"/>
          <w:color w:val="auto"/>
          <w:kern w:val="2"/>
          <w:sz w:val="21"/>
          <w:szCs w:val="24"/>
          <w:highlight w:val="none"/>
        </w:rPr>
      </w:pPr>
      <w:r>
        <w:rPr>
          <w:rFonts w:hint="eastAsia" w:hAnsi="宋体" w:cs="宋体"/>
          <w:color w:val="auto"/>
          <w:kern w:val="2"/>
          <w:sz w:val="21"/>
          <w:szCs w:val="24"/>
          <w:highlight w:val="none"/>
        </w:rPr>
        <w:t>16.3供应商可拒绝接受延长有效期要求而不会导致磋商保证金被没收。同意延长有效期的供应商需要相应延长磋商保证金的有效期，但不能修改响应文件其它内容。</w:t>
      </w:r>
    </w:p>
    <w:p>
      <w:pPr>
        <w:spacing w:line="440" w:lineRule="exact"/>
        <w:ind w:left="420" w:hanging="420"/>
        <w:rPr>
          <w:rFonts w:ascii="宋体" w:hAnsi="宋体" w:cs="宋体"/>
          <w:color w:val="auto"/>
          <w:highlight w:val="none"/>
        </w:rPr>
      </w:pPr>
      <w:r>
        <w:rPr>
          <w:rFonts w:hint="eastAsia" w:ascii="宋体" w:hAnsi="宋体" w:cs="宋体"/>
          <w:color w:val="auto"/>
          <w:szCs w:val="21"/>
          <w:highlight w:val="none"/>
        </w:rPr>
        <w:t>16.4</w:t>
      </w:r>
      <w:r>
        <w:rPr>
          <w:rFonts w:hint="eastAsia" w:ascii="宋体" w:hAnsi="宋体" w:cs="宋体"/>
          <w:color w:val="auto"/>
          <w:highlight w:val="none"/>
        </w:rPr>
        <w:t>供应商的响应文件自开标之日起至合同履行完毕止均应保持有效。</w:t>
      </w:r>
    </w:p>
    <w:p>
      <w:pPr>
        <w:spacing w:line="440" w:lineRule="exact"/>
        <w:ind w:left="420" w:hanging="420"/>
        <w:rPr>
          <w:rFonts w:ascii="宋体" w:hAnsi="宋体" w:cs="宋体"/>
          <w:b/>
          <w:color w:val="auto"/>
          <w:szCs w:val="21"/>
          <w:highlight w:val="none"/>
        </w:rPr>
      </w:pPr>
      <w:r>
        <w:rPr>
          <w:rFonts w:hint="eastAsia" w:ascii="宋体" w:hAnsi="宋体" w:cs="宋体"/>
          <w:b/>
          <w:color w:val="auto"/>
          <w:szCs w:val="21"/>
          <w:highlight w:val="none"/>
        </w:rPr>
        <w:t>17、磋商保证金</w:t>
      </w:r>
    </w:p>
    <w:p>
      <w:pPr>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17.1磋商保证金金额：详见供应商须知前附表。磋商保证金应在响应文件有效期内保持有效。</w:t>
      </w:r>
    </w:p>
    <w:p>
      <w:pPr>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17.2供应商须按规定于竞标截止前足额提交磋商保证金，</w:t>
      </w:r>
      <w:r>
        <w:rPr>
          <w:rFonts w:hint="eastAsia" w:ascii="宋体" w:hAnsi="宋体" w:cs="宋体"/>
          <w:b/>
          <w:color w:val="auto"/>
          <w:kern w:val="0"/>
          <w:szCs w:val="21"/>
          <w:highlight w:val="none"/>
        </w:rPr>
        <w:t>否则，其响应无效。</w:t>
      </w:r>
    </w:p>
    <w:p>
      <w:pPr>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17.3磋商保证金交纳形式：</w:t>
      </w:r>
      <w:r>
        <w:rPr>
          <w:rFonts w:hint="eastAsia" w:ascii="宋体" w:hAnsi="宋体" w:cs="宋体"/>
          <w:color w:val="auto"/>
          <w:highlight w:val="none"/>
        </w:rPr>
        <w:t>转账、电汇、网上银行、支票、汇票、本票或者银行、保险机构出具的保函，禁止采用现钞方式。</w:t>
      </w:r>
    </w:p>
    <w:p>
      <w:pPr>
        <w:snapToGri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highlight w:val="none"/>
        </w:rPr>
        <w:t>采用转账、电汇、网上银行方式的，在首次提交响应文件截止时间前交至</w:t>
      </w:r>
      <w:r>
        <w:rPr>
          <w:rFonts w:hint="eastAsia" w:ascii="宋体" w:hAnsi="宋体" w:cs="宋体"/>
          <w:b/>
          <w:bCs/>
          <w:color w:val="auto"/>
          <w:kern w:val="0"/>
          <w:szCs w:val="21"/>
          <w:highlight w:val="none"/>
        </w:rPr>
        <w:t>开户银行：</w:t>
      </w:r>
      <w:r>
        <w:rPr>
          <w:rFonts w:hint="eastAsia" w:ascii="宋体" w:hAnsi="宋体" w:cs="宋体"/>
          <w:b/>
          <w:bCs/>
          <w:color w:val="auto"/>
          <w:kern w:val="0"/>
          <w:szCs w:val="21"/>
          <w:highlight w:val="none"/>
          <w:u w:val="single"/>
        </w:rPr>
        <w:t>中国银行柳州市八一支行</w:t>
      </w:r>
      <w:r>
        <w:rPr>
          <w:rFonts w:hint="eastAsia" w:ascii="宋体" w:hAnsi="宋体" w:cs="宋体"/>
          <w:b/>
          <w:bCs/>
          <w:color w:val="auto"/>
          <w:kern w:val="0"/>
          <w:szCs w:val="21"/>
          <w:highlight w:val="none"/>
        </w:rPr>
        <w:t>，开户名称：</w:t>
      </w:r>
      <w:r>
        <w:rPr>
          <w:rFonts w:hint="eastAsia" w:ascii="宋体" w:hAnsi="宋体" w:cs="宋体"/>
          <w:b/>
          <w:bCs/>
          <w:color w:val="auto"/>
          <w:kern w:val="0"/>
          <w:szCs w:val="21"/>
          <w:highlight w:val="none"/>
          <w:u w:val="single"/>
        </w:rPr>
        <w:t>广西德元工程项目管理有限责任公司，银行账号：6158 6557 4841</w:t>
      </w:r>
      <w:r>
        <w:rPr>
          <w:rFonts w:hint="eastAsia" w:ascii="宋体" w:hAnsi="宋体" w:cs="宋体"/>
          <w:color w:val="auto"/>
          <w:kern w:val="0"/>
          <w:szCs w:val="21"/>
          <w:highlight w:val="none"/>
        </w:rPr>
        <w:t>。</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采用转账、电汇、网上银行方式的，由供应商按上条中明确的全称、</w:t>
      </w:r>
      <w:r>
        <w:rPr>
          <w:rFonts w:hint="eastAsia" w:hAnsi="宋体" w:cs="宋体"/>
          <w:color w:val="auto"/>
          <w:sz w:val="21"/>
          <w:highlight w:val="none"/>
          <w:lang w:val="en-US" w:eastAsia="zh-CN"/>
        </w:rPr>
        <w:t>账</w:t>
      </w:r>
      <w:r>
        <w:rPr>
          <w:rFonts w:hint="eastAsia" w:hAnsi="宋体" w:cs="宋体"/>
          <w:color w:val="auto"/>
          <w:sz w:val="21"/>
          <w:highlight w:val="none"/>
        </w:rPr>
        <w:t>号、开户行，在保证金规定递交时间内转入（汇入）广西德元工程项目管理有限责任公司保证金专户上，并将银行转账底单的复印件作为磋商保证金提交凭证，放置于响应文件中，</w:t>
      </w:r>
      <w:r>
        <w:rPr>
          <w:rFonts w:hint="eastAsia" w:hAnsi="宋体" w:cs="宋体"/>
          <w:b/>
          <w:color w:val="auto"/>
          <w:sz w:val="21"/>
          <w:highlight w:val="none"/>
        </w:rPr>
        <w:t>否则其响应无效</w:t>
      </w:r>
      <w:r>
        <w:rPr>
          <w:rFonts w:hint="eastAsia" w:hAnsi="宋体" w:cs="宋体"/>
          <w:color w:val="auto"/>
          <w:sz w:val="21"/>
          <w:highlight w:val="none"/>
        </w:rPr>
        <w:t>。若广西德元工程项目管理有限责任公司保证金专户在保证金规定递交时间内没有收到供应商足额交纳的磋商保证金，</w:t>
      </w:r>
      <w:r>
        <w:rPr>
          <w:rFonts w:hint="eastAsia" w:hAnsi="宋体" w:cs="宋体"/>
          <w:b/>
          <w:color w:val="auto"/>
          <w:sz w:val="21"/>
          <w:highlight w:val="none"/>
        </w:rPr>
        <w:t>其响应无效</w:t>
      </w:r>
      <w:r>
        <w:rPr>
          <w:rFonts w:hint="eastAsia" w:hAnsi="宋体" w:cs="宋体"/>
          <w:color w:val="auto"/>
          <w:sz w:val="21"/>
          <w:highlight w:val="none"/>
        </w:rPr>
        <w:t>；因此供应商在缴纳磋商保证金时应充分考虑保证金到达本公司保证金专户上的时间，以免影响竞标。办理磋商保证金手续时，请务必在银行进帐单的用途或空白栏上注明招标项目名称或采购编号</w:t>
      </w:r>
      <w:r>
        <w:rPr>
          <w:rFonts w:hint="eastAsia" w:hAnsi="宋体" w:cs="宋体"/>
          <w:b/>
          <w:color w:val="auto"/>
          <w:sz w:val="21"/>
          <w:highlight w:val="none"/>
        </w:rPr>
        <w:t>，如遇受字符限制的情况，项目名称可简写。</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采用支票、汇票、本票或银行、保险机构出具的保函交纳方式的，供应商应将支票、汇票、本票或银行、保险机构出具的保函的复印件作为磋商保证金提交凭证，放置于响应文件中</w:t>
      </w:r>
      <w:r>
        <w:rPr>
          <w:rFonts w:hint="eastAsia" w:hAnsi="宋体" w:cs="宋体"/>
          <w:b/>
          <w:color w:val="auto"/>
          <w:sz w:val="21"/>
          <w:highlight w:val="none"/>
        </w:rPr>
        <w:t>，否则其响应无效</w:t>
      </w:r>
      <w:r>
        <w:rPr>
          <w:rFonts w:hint="eastAsia" w:hAnsi="宋体" w:cs="宋体"/>
          <w:color w:val="auto"/>
          <w:sz w:val="21"/>
          <w:highlight w:val="none"/>
        </w:rPr>
        <w:t>。并于首次提交响应文件截止时间前，递交支票、汇票、本票或银行、保险机构出具的保函原件；原件递交的形式可以是在线下开标现场递交密封好的原件（原件放入一个密封袋中，并在封口处加盖供应商公章或委托代理人签字，以示密封，在封套上标记“项目名称（项目编号）磋商保证金”字样），也可以以邮寄方式递交原件（邮寄地址及收件人详见磋商公告采购代理机构信息）；若广西德元工程项目管理有限责任公司在保证金规定递交时间内没有收到上述原件的，</w:t>
      </w:r>
      <w:r>
        <w:rPr>
          <w:rFonts w:hint="eastAsia" w:hAnsi="宋体" w:cs="宋体"/>
          <w:b/>
          <w:color w:val="auto"/>
          <w:sz w:val="21"/>
          <w:highlight w:val="none"/>
        </w:rPr>
        <w:t>其响应无效</w:t>
      </w:r>
      <w:r>
        <w:rPr>
          <w:rFonts w:hint="eastAsia" w:hAnsi="宋体" w:cs="宋体"/>
          <w:color w:val="auto"/>
          <w:sz w:val="21"/>
          <w:highlight w:val="none"/>
        </w:rPr>
        <w:t>；因此供应商无论采用现场或者是邮寄递交上述原件时应充分考虑到达时间，以免影响竞标。</w:t>
      </w:r>
    </w:p>
    <w:p>
      <w:pPr>
        <w:pStyle w:val="23"/>
        <w:spacing w:line="440" w:lineRule="exact"/>
        <w:rPr>
          <w:rFonts w:hAnsi="宋体" w:cs="宋体"/>
          <w:color w:val="auto"/>
          <w:sz w:val="21"/>
          <w:highlight w:val="none"/>
        </w:rPr>
      </w:pPr>
      <w:r>
        <w:rPr>
          <w:rFonts w:hint="eastAsia" w:hAnsi="宋体" w:cs="宋体"/>
          <w:color w:val="auto"/>
          <w:sz w:val="21"/>
          <w:highlight w:val="none"/>
        </w:rPr>
        <w:t>17.4</w:t>
      </w:r>
      <w:r>
        <w:rPr>
          <w:rFonts w:hint="eastAsia" w:hAnsi="宋体" w:cs="宋体"/>
          <w:b/>
          <w:color w:val="auto"/>
          <w:spacing w:val="-2"/>
          <w:sz w:val="21"/>
          <w:highlight w:val="none"/>
        </w:rPr>
        <w:t>首次提交响应文件截止时间后提交的，或未足额交纳的，或保函额度不足的，视为无效磋商保证金</w:t>
      </w:r>
      <w:r>
        <w:rPr>
          <w:rFonts w:hint="eastAsia" w:hAnsi="宋体" w:cs="宋体"/>
          <w:b/>
          <w:color w:val="auto"/>
          <w:sz w:val="21"/>
          <w:highlight w:val="none"/>
        </w:rPr>
        <w:t>。</w:t>
      </w:r>
    </w:p>
    <w:p>
      <w:pPr>
        <w:pStyle w:val="23"/>
        <w:spacing w:line="440" w:lineRule="exact"/>
        <w:rPr>
          <w:rFonts w:hAnsi="宋体" w:cs="宋体"/>
          <w:color w:val="auto"/>
          <w:sz w:val="21"/>
          <w:highlight w:val="none"/>
        </w:rPr>
      </w:pPr>
      <w:r>
        <w:rPr>
          <w:rFonts w:hint="eastAsia" w:hAnsi="宋体" w:cs="宋体"/>
          <w:color w:val="auto"/>
          <w:sz w:val="21"/>
          <w:highlight w:val="none"/>
        </w:rPr>
        <w:t>17.5</w:t>
      </w:r>
      <w:r>
        <w:rPr>
          <w:rFonts w:hint="eastAsia" w:hAnsi="宋体" w:cs="宋体"/>
          <w:b/>
          <w:color w:val="auto"/>
          <w:sz w:val="21"/>
          <w:highlight w:val="none"/>
        </w:rPr>
        <w:t>供应商采用现钞方式或从个人账户（个体工商户及自然人竞标除外）转出的磋商保证金，视为无效磋商保证金。</w:t>
      </w:r>
    </w:p>
    <w:p>
      <w:pPr>
        <w:pStyle w:val="23"/>
        <w:spacing w:line="440" w:lineRule="exact"/>
        <w:rPr>
          <w:rFonts w:hAnsi="宋体" w:cs="宋体"/>
          <w:color w:val="auto"/>
          <w:sz w:val="21"/>
          <w:highlight w:val="none"/>
        </w:rPr>
      </w:pPr>
      <w:r>
        <w:rPr>
          <w:rFonts w:hint="eastAsia" w:hAnsi="宋体" w:cs="宋体"/>
          <w:color w:val="auto"/>
          <w:sz w:val="21"/>
          <w:highlight w:val="none"/>
        </w:rPr>
        <w:t>17.6</w:t>
      </w:r>
      <w:r>
        <w:rPr>
          <w:rFonts w:hint="eastAsia" w:hAnsi="宋体" w:cs="宋体"/>
          <w:b/>
          <w:color w:val="auto"/>
          <w:sz w:val="21"/>
          <w:highlight w:val="none"/>
        </w:rPr>
        <w:t>支票、汇票、本票出现背书情形，或者有条件支付的，或者支票、汇票、本票无效的，视为无效磋商保证金。</w:t>
      </w:r>
    </w:p>
    <w:p>
      <w:pPr>
        <w:pStyle w:val="23"/>
        <w:spacing w:line="440" w:lineRule="exact"/>
        <w:rPr>
          <w:rFonts w:hAnsi="宋体" w:cs="宋体"/>
          <w:color w:val="auto"/>
          <w:sz w:val="21"/>
          <w:highlight w:val="none"/>
        </w:rPr>
      </w:pPr>
      <w:r>
        <w:rPr>
          <w:rFonts w:hint="eastAsia" w:hAnsi="宋体" w:cs="宋体"/>
          <w:color w:val="auto"/>
          <w:sz w:val="21"/>
          <w:highlight w:val="none"/>
        </w:rPr>
        <w:t>17.7</w:t>
      </w:r>
      <w:r>
        <w:rPr>
          <w:rFonts w:hint="eastAsia" w:hAnsi="宋体" w:cs="宋体"/>
          <w:b/>
          <w:color w:val="auto"/>
          <w:sz w:val="21"/>
          <w:highlight w:val="none"/>
        </w:rPr>
        <w:t>保函有效期低于响应文件有效期的，视为无效磋商保证金。</w:t>
      </w:r>
    </w:p>
    <w:p>
      <w:pPr>
        <w:pStyle w:val="23"/>
        <w:spacing w:line="440" w:lineRule="exact"/>
        <w:rPr>
          <w:rFonts w:hAnsi="宋体" w:cs="宋体"/>
          <w:b/>
          <w:color w:val="auto"/>
          <w:kern w:val="2"/>
          <w:sz w:val="21"/>
          <w:highlight w:val="none"/>
        </w:rPr>
      </w:pPr>
      <w:r>
        <w:rPr>
          <w:rFonts w:hint="eastAsia" w:hAnsi="宋体" w:cs="宋体"/>
          <w:color w:val="auto"/>
          <w:sz w:val="21"/>
          <w:highlight w:val="none"/>
        </w:rPr>
        <w:t>17.8</w:t>
      </w:r>
      <w:r>
        <w:rPr>
          <w:rFonts w:hint="eastAsia" w:hAnsi="宋体" w:cs="宋体"/>
          <w:b/>
          <w:color w:val="auto"/>
          <w:sz w:val="21"/>
          <w:highlight w:val="none"/>
        </w:rPr>
        <w:t>磋商保证金采用金融机构、担保机构出具的保函为有条件保函的，视为无效磋商保证金。</w:t>
      </w:r>
    </w:p>
    <w:p>
      <w:pPr>
        <w:pStyle w:val="23"/>
        <w:spacing w:line="440" w:lineRule="exact"/>
        <w:rPr>
          <w:rFonts w:hAnsi="宋体" w:cs="宋体"/>
          <w:color w:val="auto"/>
          <w:sz w:val="21"/>
          <w:highlight w:val="none"/>
        </w:rPr>
      </w:pPr>
      <w:r>
        <w:rPr>
          <w:rFonts w:hint="eastAsia" w:hAnsi="宋体" w:cs="宋体"/>
          <w:color w:val="auto"/>
          <w:sz w:val="21"/>
          <w:highlight w:val="none"/>
        </w:rPr>
        <w:t>17.9磋商保证金的退还</w:t>
      </w:r>
    </w:p>
    <w:p>
      <w:pPr>
        <w:snapToGrid w:val="0"/>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（1）未成交人的磋商保证金自成交通知书发出之日起4个工作日内退还，退还方式如下：</w:t>
      </w:r>
    </w:p>
    <w:p>
      <w:pPr>
        <w:snapToGrid w:val="0"/>
        <w:spacing w:line="440" w:lineRule="exact"/>
        <w:ind w:firstLine="630" w:firstLineChars="300"/>
        <w:jc w:val="left"/>
        <w:rPr>
          <w:rFonts w:ascii="宋体" w:hAnsi="宋体" w:cs="宋体"/>
          <w:color w:val="auto"/>
          <w:highlight w:val="none"/>
        </w:rPr>
      </w:pPr>
      <w:r>
        <w:rPr>
          <w:rFonts w:hint="eastAsia" w:ascii="宋体" w:hAnsi="宋体" w:cs="宋体"/>
          <w:color w:val="auto"/>
          <w:highlight w:val="none"/>
        </w:rPr>
        <w:t>①采用银行转账方式的，以转账方式退回到供应商银行账户。</w:t>
      </w:r>
    </w:p>
    <w:p>
      <w:pPr>
        <w:snapToGrid w:val="0"/>
        <w:spacing w:line="440" w:lineRule="exact"/>
        <w:ind w:firstLine="630" w:firstLineChars="300"/>
        <w:jc w:val="left"/>
        <w:rPr>
          <w:rFonts w:ascii="宋体" w:hAnsi="宋体" w:cs="宋体"/>
          <w:color w:val="auto"/>
          <w:highlight w:val="none"/>
        </w:rPr>
      </w:pPr>
      <w:r>
        <w:rPr>
          <w:rFonts w:hint="eastAsia" w:ascii="宋体" w:hAnsi="宋体" w:cs="宋体"/>
          <w:color w:val="auto"/>
          <w:highlight w:val="none"/>
        </w:rPr>
        <w:t>②采用支票、汇票或本票方式的，以转账方式退回到供应商银行账户或由供应商代表持相关授权证明材料至采购人或采购代理机构办理支票、汇票或本票原件退还手续。</w:t>
      </w:r>
    </w:p>
    <w:p>
      <w:pPr>
        <w:snapToGrid w:val="0"/>
        <w:spacing w:line="440" w:lineRule="exact"/>
        <w:ind w:firstLine="630" w:firstLineChars="300"/>
        <w:jc w:val="left"/>
        <w:rPr>
          <w:rFonts w:ascii="宋体" w:hAnsi="宋体" w:cs="宋体"/>
          <w:color w:val="auto"/>
          <w:highlight w:val="none"/>
        </w:rPr>
      </w:pPr>
      <w:r>
        <w:rPr>
          <w:rFonts w:hint="eastAsia" w:ascii="宋体" w:hAnsi="宋体" w:cs="宋体"/>
          <w:color w:val="auto"/>
          <w:highlight w:val="none"/>
        </w:rPr>
        <w:t>③采用银行、保险机构出具的保函方式的，由供应商代表持相关授权证明材料在采购结果公告公布之日起五个工作日内至采购人或采购代理机构办理保函原件退还手续，供应商逾期领取所造成的后果由供应商自行承担。</w:t>
      </w:r>
    </w:p>
    <w:p>
      <w:pPr>
        <w:snapToGrid w:val="0"/>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（2）成交人应在合同签订之日起2个工作日内向采购代理机构提供</w:t>
      </w:r>
      <w:r>
        <w:rPr>
          <w:rFonts w:hint="eastAsia" w:ascii="宋体" w:hAnsi="宋体" w:cs="宋体"/>
          <w:color w:val="auto"/>
          <w:highlight w:val="none"/>
          <w:u w:val="single"/>
        </w:rPr>
        <w:t>壹</w:t>
      </w:r>
      <w:r>
        <w:rPr>
          <w:rFonts w:hint="eastAsia" w:ascii="宋体" w:hAnsi="宋体" w:cs="宋体"/>
          <w:color w:val="auto"/>
          <w:highlight w:val="none"/>
        </w:rPr>
        <w:t>份合同副本备案。以配合采购代理机构按《关于进一步做好政府采购信息公开有关工作的通知》（桂财采【2016】7号文件第八条）的要求，在财政部门指定媒体上公告合同的主要内容。采购代理机构在合同签订之日起4个工作日退还成交人的投标保证金。对无法在上述要求期限内将合同送达采购代理机构的成交人，采购代理机构须凭成交人出具加盖公章的情况说明才能退还其投标保证金。投标保证金退还方式同未成交人的投标保证金的退还方式。</w:t>
      </w:r>
    </w:p>
    <w:p>
      <w:pPr>
        <w:snapToGrid w:val="0"/>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（3）磋商保证金不计息。</w:t>
      </w:r>
    </w:p>
    <w:p>
      <w:pPr>
        <w:snapToGrid w:val="0"/>
        <w:spacing w:line="440" w:lineRule="exact"/>
        <w:jc w:val="left"/>
        <w:rPr>
          <w:rFonts w:ascii="宋体" w:hAnsi="宋体" w:cs="宋体"/>
          <w:color w:val="auto"/>
          <w:highlight w:val="none"/>
        </w:rPr>
      </w:pPr>
      <w:r>
        <w:rPr>
          <w:rFonts w:hint="eastAsia" w:ascii="宋体" w:hAnsi="宋体" w:cs="宋体"/>
          <w:color w:val="auto"/>
          <w:highlight w:val="none"/>
        </w:rPr>
        <w:t>17.10供应商有下列情形之一的，磋商保证金将不予退还：</w:t>
      </w:r>
    </w:p>
    <w:p>
      <w:pPr>
        <w:snapToGrid w:val="0"/>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（1）供应商在响应文件有效期内撤回响应文件的；</w:t>
      </w:r>
    </w:p>
    <w:p>
      <w:pPr>
        <w:snapToGrid w:val="0"/>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（2）未按规定提交履约保证金的；</w:t>
      </w:r>
    </w:p>
    <w:p>
      <w:pPr>
        <w:snapToGrid w:val="0"/>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（3）供应商在竞标过程中弄虚作假，提供虚假材料的；</w:t>
      </w:r>
    </w:p>
    <w:p>
      <w:pPr>
        <w:snapToGrid w:val="0"/>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（4）成交人无正当理由不与采购人签订合同的；</w:t>
      </w:r>
    </w:p>
    <w:p>
      <w:pPr>
        <w:snapToGrid w:val="0"/>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（5）将成交项目转让给他人或者在响应文件中未说明且未经招标采购单位同意，将成交项目分包给他人的；</w:t>
      </w:r>
    </w:p>
    <w:p>
      <w:pPr>
        <w:snapToGrid w:val="0"/>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（6）拒绝履行合同义务的；</w:t>
      </w:r>
    </w:p>
    <w:p>
      <w:pPr>
        <w:snapToGrid w:val="0"/>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（7）其他严重扰乱招竞标程序的；</w:t>
      </w:r>
    </w:p>
    <w:p>
      <w:pPr>
        <w:spacing w:line="440" w:lineRule="exact"/>
        <w:ind w:left="420" w:hanging="420"/>
        <w:rPr>
          <w:rFonts w:ascii="宋体" w:hAnsi="宋体" w:cs="宋体"/>
          <w:b/>
          <w:color w:val="auto"/>
          <w:szCs w:val="21"/>
          <w:highlight w:val="none"/>
        </w:rPr>
      </w:pPr>
      <w:r>
        <w:rPr>
          <w:rFonts w:hint="eastAsia" w:ascii="宋体" w:hAnsi="宋体" w:cs="宋体"/>
          <w:b/>
          <w:color w:val="auto"/>
          <w:szCs w:val="21"/>
          <w:highlight w:val="none"/>
        </w:rPr>
        <w:t>18、</w:t>
      </w:r>
      <w:bookmarkStart w:id="10" w:name="_Toc254970683"/>
      <w:bookmarkStart w:id="11" w:name="_Toc254970542"/>
      <w:r>
        <w:rPr>
          <w:rFonts w:hint="eastAsia" w:ascii="宋体" w:hAnsi="宋体" w:cs="宋体"/>
          <w:b/>
          <w:color w:val="auto"/>
          <w:szCs w:val="21"/>
          <w:highlight w:val="none"/>
        </w:rPr>
        <w:t>响应文件的</w:t>
      </w:r>
      <w:bookmarkEnd w:id="10"/>
      <w:bookmarkEnd w:id="11"/>
      <w:r>
        <w:rPr>
          <w:rFonts w:hint="eastAsia" w:ascii="宋体" w:hAnsi="宋体" w:cs="宋体"/>
          <w:b/>
          <w:color w:val="auto"/>
          <w:szCs w:val="21"/>
          <w:highlight w:val="none"/>
        </w:rPr>
        <w:t>编制</w:t>
      </w:r>
    </w:p>
    <w:p>
      <w:pPr>
        <w:snapToGrid w:val="0"/>
        <w:spacing w:line="440" w:lineRule="exact"/>
        <w:jc w:val="left"/>
        <w:rPr>
          <w:rFonts w:ascii="宋体" w:hAnsi="宋体" w:cs="宋体"/>
          <w:color w:val="auto"/>
          <w:highlight w:val="none"/>
        </w:rPr>
      </w:pPr>
      <w:r>
        <w:rPr>
          <w:rFonts w:hint="eastAsia" w:ascii="宋体" w:hAnsi="宋体" w:cs="宋体"/>
          <w:color w:val="auto"/>
          <w:highlight w:val="none"/>
        </w:rPr>
        <w:t>18.1供应商应按本竞争性磋商采购文件规定的格式和顺序编制、装订响应文件并标注页码，响应文件内容不完整、编排混乱导致响应文件被误读、漏读或者查找不到相关内容的，所引起的后果由供应商负责。</w:t>
      </w:r>
    </w:p>
    <w:p>
      <w:pPr>
        <w:snapToGrid w:val="0"/>
        <w:spacing w:line="440" w:lineRule="exact"/>
        <w:jc w:val="left"/>
        <w:rPr>
          <w:rFonts w:ascii="宋体" w:hAnsi="宋体" w:cs="宋体"/>
          <w:color w:val="auto"/>
          <w:highlight w:val="none"/>
        </w:rPr>
      </w:pPr>
      <w:r>
        <w:rPr>
          <w:rFonts w:hint="eastAsia" w:ascii="宋体" w:hAnsi="宋体" w:cs="宋体"/>
          <w:color w:val="auto"/>
          <w:highlight w:val="none"/>
        </w:rPr>
        <w:t>18.2响应文件应按资格证明、报价分别编制，商务技术文件合并编制，本磋商只接受电子版响应文件。</w:t>
      </w:r>
    </w:p>
    <w:p>
      <w:pPr>
        <w:snapToGrid w:val="0"/>
        <w:spacing w:line="440" w:lineRule="exact"/>
        <w:jc w:val="left"/>
        <w:rPr>
          <w:rFonts w:ascii="宋体" w:hAnsi="宋体" w:cs="宋体"/>
          <w:color w:val="auto"/>
          <w:highlight w:val="none"/>
        </w:rPr>
      </w:pPr>
      <w:r>
        <w:rPr>
          <w:rFonts w:hint="eastAsia" w:ascii="宋体" w:hAnsi="宋体" w:cs="宋体"/>
          <w:color w:val="auto"/>
          <w:highlight w:val="none"/>
        </w:rPr>
        <w:t>18.3响应文件电子版要求：按照本采购文件“第四章响应文件格式”编写（第四章未附格式的，由供应商自行拟定），并在规定加盖公章处加盖电子公章，否则响应文件按无效响应处理。</w:t>
      </w:r>
      <w:r>
        <w:rPr>
          <w:rFonts w:hint="eastAsia" w:ascii="宋体" w:hAnsi="宋体" w:cs="宋体"/>
          <w:color w:val="auto"/>
          <w:kern w:val="0"/>
          <w:szCs w:val="21"/>
          <w:highlight w:val="none"/>
        </w:rPr>
        <w:t>骑缝盖</w:t>
      </w:r>
      <w:r>
        <w:rPr>
          <w:rFonts w:hint="eastAsia" w:ascii="宋体" w:hAnsi="宋体" w:cs="宋体"/>
          <w:color w:val="auto"/>
          <w:highlight w:val="none"/>
        </w:rPr>
        <w:t>公章不视为在规定位置盖章。</w:t>
      </w:r>
    </w:p>
    <w:p>
      <w:pPr>
        <w:snapToGrid w:val="0"/>
        <w:spacing w:line="440" w:lineRule="exact"/>
        <w:jc w:val="left"/>
        <w:rPr>
          <w:rFonts w:ascii="宋体" w:hAnsi="宋体" w:cs="宋体"/>
          <w:color w:val="auto"/>
          <w:highlight w:val="none"/>
        </w:rPr>
      </w:pPr>
      <w:r>
        <w:rPr>
          <w:rFonts w:hint="eastAsia" w:ascii="宋体" w:hAnsi="宋体" w:cs="宋体"/>
          <w:color w:val="auto"/>
          <w:highlight w:val="none"/>
        </w:rPr>
        <w:t>18.4响应文件中标注的供应商名称应与营业执照（事业单位法人证书、执业许可证、自然人身份证）及电子公章一致，否则其响应文件按无效响应处理。</w:t>
      </w:r>
    </w:p>
    <w:p>
      <w:pPr>
        <w:snapToGrid w:val="0"/>
        <w:spacing w:line="440" w:lineRule="exact"/>
        <w:jc w:val="left"/>
        <w:rPr>
          <w:rFonts w:ascii="宋体" w:hAnsi="宋体" w:cs="宋体"/>
          <w:color w:val="auto"/>
          <w:highlight w:val="none"/>
        </w:rPr>
      </w:pPr>
      <w:r>
        <w:rPr>
          <w:rFonts w:hint="eastAsia" w:ascii="宋体" w:hAnsi="宋体" w:cs="宋体"/>
          <w:color w:val="auto"/>
          <w:highlight w:val="none"/>
        </w:rPr>
        <w:t>18.5</w:t>
      </w:r>
      <w:r>
        <w:rPr>
          <w:rFonts w:hint="eastAsia" w:ascii="宋体" w:hAnsi="宋体" w:cs="宋体"/>
          <w:color w:val="auto"/>
          <w:kern w:val="0"/>
          <w:szCs w:val="21"/>
          <w:highlight w:val="none"/>
        </w:rPr>
        <w:t>响应文件应避免涂改、行间插字或者删除，否则其响应文件按无效响应处理。</w:t>
      </w:r>
    </w:p>
    <w:p>
      <w:pPr>
        <w:snapToGrid w:val="0"/>
        <w:spacing w:line="440" w:lineRule="exact"/>
        <w:jc w:val="left"/>
        <w:rPr>
          <w:rFonts w:ascii="宋体" w:hAnsi="宋体" w:cs="宋体"/>
          <w:color w:val="auto"/>
          <w:highlight w:val="none"/>
        </w:rPr>
      </w:pPr>
      <w:r>
        <w:rPr>
          <w:rFonts w:hint="eastAsia" w:ascii="宋体" w:hAnsi="宋体" w:cs="宋体"/>
          <w:color w:val="auto"/>
          <w:highlight w:val="none"/>
        </w:rPr>
        <w:t>18.6供应商进行电子交易应安装客户端软件—“广西政府采购云平台电子交易客户端”，并按照磋商文件和电子交易平台的要求编制并加密响应文件。供应商未按规定加密的响应文件，电子交易平台将拒收并提示。</w:t>
      </w:r>
    </w:p>
    <w:p>
      <w:pPr>
        <w:snapToGrid w:val="0"/>
        <w:spacing w:line="440" w:lineRule="exact"/>
        <w:jc w:val="left"/>
        <w:rPr>
          <w:rFonts w:ascii="宋体" w:hAnsi="宋体" w:cs="宋体"/>
          <w:color w:val="auto"/>
          <w:highlight w:val="none"/>
        </w:rPr>
      </w:pPr>
      <w:r>
        <w:rPr>
          <w:rFonts w:hint="eastAsia" w:ascii="宋体" w:hAnsi="宋体" w:cs="宋体"/>
          <w:color w:val="auto"/>
          <w:highlight w:val="none"/>
        </w:rPr>
        <w:t>18.7使用“广西政府采购云平台电子交易客户端”需要提前申领CA数字证书，申领流程见该项目采购公告附件。</w:t>
      </w:r>
    </w:p>
    <w:p>
      <w:pPr>
        <w:snapToGrid w:val="0"/>
        <w:spacing w:line="440" w:lineRule="exact"/>
        <w:jc w:val="left"/>
        <w:rPr>
          <w:rFonts w:ascii="宋体" w:hAnsi="宋体" w:cs="宋体"/>
          <w:color w:val="auto"/>
          <w:highlight w:val="none"/>
        </w:rPr>
      </w:pPr>
      <w:r>
        <w:rPr>
          <w:rFonts w:hint="eastAsia" w:ascii="宋体" w:hAnsi="宋体" w:cs="宋体"/>
          <w:color w:val="auto"/>
          <w:highlight w:val="none"/>
        </w:rPr>
        <w:t>18.8为确保网上操作合法、有效和安全，供应商应当在响应文件提交截止时间前完成在“政府采购云平台”的身份认证，确保在电子交易过程中能够对相关数据电文进行加密和使用电子签名。</w:t>
      </w:r>
    </w:p>
    <w:p>
      <w:pPr>
        <w:spacing w:line="440" w:lineRule="exact"/>
        <w:rPr>
          <w:rFonts w:ascii="宋体" w:hAnsi="宋体" w:cs="宋体"/>
          <w:b/>
          <w:color w:val="auto"/>
          <w:szCs w:val="21"/>
          <w:highlight w:val="none"/>
        </w:rPr>
      </w:pPr>
      <w:r>
        <w:rPr>
          <w:rFonts w:hint="eastAsia" w:ascii="宋体" w:hAnsi="宋体" w:cs="宋体"/>
          <w:b/>
          <w:color w:val="auto"/>
          <w:highlight w:val="none"/>
        </w:rPr>
        <w:t>19.</w:t>
      </w:r>
      <w:r>
        <w:rPr>
          <w:rFonts w:hint="eastAsia" w:ascii="宋体" w:hAnsi="宋体" w:cs="宋体"/>
          <w:b/>
          <w:color w:val="auto"/>
          <w:szCs w:val="21"/>
          <w:highlight w:val="none"/>
        </w:rPr>
        <w:t>响应文件的递交</w:t>
      </w:r>
    </w:p>
    <w:p>
      <w:pPr>
        <w:snapToGrid w:val="0"/>
        <w:spacing w:line="440" w:lineRule="exact"/>
        <w:jc w:val="left"/>
        <w:rPr>
          <w:rFonts w:ascii="宋体" w:hAnsi="宋体" w:cs="宋体"/>
          <w:color w:val="auto"/>
          <w:highlight w:val="none"/>
        </w:rPr>
      </w:pPr>
      <w:r>
        <w:rPr>
          <w:rFonts w:hint="eastAsia" w:ascii="宋体" w:hAnsi="宋体" w:cs="宋体"/>
          <w:color w:val="auto"/>
          <w:highlight w:val="none"/>
        </w:rPr>
        <w:t>19.1供应商必须在“供应商须知前附表”规定的响应文件接收时间和地点提交电子版响应文件。电子响应文件应在制作完成后，在提交截止时间前通过有效数字证书（CA认证锁）进行电子签章、加密，然后通过网络将加密的电子响应文件递交至“广西政府采购云平台”。</w:t>
      </w:r>
    </w:p>
    <w:p>
      <w:pPr>
        <w:snapToGrid w:val="0"/>
        <w:spacing w:line="440" w:lineRule="exact"/>
        <w:jc w:val="left"/>
        <w:rPr>
          <w:rFonts w:ascii="宋体" w:hAnsi="宋体" w:cs="宋体"/>
          <w:color w:val="auto"/>
          <w:highlight w:val="none"/>
        </w:rPr>
      </w:pPr>
      <w:r>
        <w:rPr>
          <w:rFonts w:hint="eastAsia" w:ascii="宋体" w:hAnsi="宋体" w:cs="宋体"/>
          <w:color w:val="auto"/>
          <w:highlight w:val="none"/>
        </w:rPr>
        <w:t>19.2未在规定时间内提交或者未按照磋商文件要求密封或者标记的电子响应文件，广西政府采购云平台将拒收。</w:t>
      </w:r>
    </w:p>
    <w:p>
      <w:pPr>
        <w:snapToGrid w:val="0"/>
        <w:spacing w:line="440" w:lineRule="exact"/>
        <w:jc w:val="left"/>
        <w:rPr>
          <w:rFonts w:ascii="宋体" w:hAnsi="宋体" w:cs="宋体"/>
          <w:color w:val="auto"/>
          <w:highlight w:val="none"/>
        </w:rPr>
      </w:pPr>
      <w:r>
        <w:rPr>
          <w:rFonts w:hint="eastAsia" w:ascii="宋体" w:hAnsi="宋体" w:cs="宋体"/>
          <w:color w:val="auto"/>
          <w:highlight w:val="none"/>
        </w:rPr>
        <w:t>19.3电子版响应文件提交方式见“磋商公告”中“四、提交响应文件截止时间、开标时间和地点”。</w:t>
      </w:r>
    </w:p>
    <w:p>
      <w:pPr>
        <w:snapToGrid w:val="0"/>
        <w:spacing w:line="440" w:lineRule="exact"/>
        <w:jc w:val="left"/>
        <w:rPr>
          <w:rFonts w:ascii="宋体" w:hAnsi="宋体" w:cs="宋体"/>
          <w:b/>
          <w:color w:val="auto"/>
          <w:szCs w:val="21"/>
          <w:highlight w:val="none"/>
        </w:rPr>
      </w:pPr>
      <w:r>
        <w:rPr>
          <w:rFonts w:hint="eastAsia" w:ascii="宋体" w:hAnsi="宋体" w:cs="宋体"/>
          <w:b/>
          <w:color w:val="auto"/>
          <w:szCs w:val="21"/>
          <w:highlight w:val="none"/>
        </w:rPr>
        <w:t>20.响应文件的补充、修改、撤回与退回</w:t>
      </w:r>
    </w:p>
    <w:p>
      <w:pPr>
        <w:snapToGrid w:val="0"/>
        <w:spacing w:line="440" w:lineRule="exact"/>
        <w:jc w:val="left"/>
        <w:rPr>
          <w:rFonts w:ascii="宋体" w:hAnsi="宋体" w:cs="宋体"/>
          <w:color w:val="auto"/>
          <w:highlight w:val="none"/>
        </w:rPr>
      </w:pPr>
      <w:r>
        <w:rPr>
          <w:rFonts w:hint="eastAsia" w:ascii="宋体" w:hAnsi="宋体" w:cs="宋体"/>
          <w:color w:val="auto"/>
          <w:highlight w:val="none"/>
        </w:rPr>
        <w:t>20.1供应商应当在首次提交响应文件截止时间前完成响应文件的传输递交，并可以补充、修改或者撤回响应文件。补充或者修改响应文件的，应当先行撤回原文件，补充、修改后重新传输递交。提交响应文件截止时间前未完成传输的，视为撤回响应文件。提交响应文件截止时间后递交的响应文件，广西政府采购云平台平台将拒收。</w:t>
      </w:r>
    </w:p>
    <w:p>
      <w:pPr>
        <w:snapToGrid w:val="0"/>
        <w:spacing w:line="440" w:lineRule="exact"/>
        <w:jc w:val="left"/>
        <w:rPr>
          <w:rFonts w:ascii="宋体" w:hAnsi="宋体" w:cs="宋体"/>
          <w:color w:val="auto"/>
          <w:highlight w:val="none"/>
        </w:rPr>
      </w:pPr>
      <w:r>
        <w:rPr>
          <w:rFonts w:hint="eastAsia" w:ascii="宋体" w:hAnsi="宋体" w:cs="宋体"/>
          <w:color w:val="auto"/>
          <w:highlight w:val="none"/>
        </w:rPr>
        <w:t>20.2广西政府采购云平台收到响应文件，将妥善保存并即时向供应商发出确认回执通知。在提交响应文件截止时间前，除供应商补充、修改或者撤回响应文件外，任何单位和个人不得解密或提取响应文件。</w:t>
      </w:r>
    </w:p>
    <w:p>
      <w:pPr>
        <w:snapToGrid w:val="0"/>
        <w:spacing w:line="440" w:lineRule="exact"/>
        <w:jc w:val="left"/>
        <w:rPr>
          <w:rFonts w:ascii="宋体" w:hAnsi="宋体" w:cs="宋体"/>
          <w:color w:val="auto"/>
          <w:highlight w:val="none"/>
        </w:rPr>
      </w:pPr>
      <w:r>
        <w:rPr>
          <w:rFonts w:hint="eastAsia" w:ascii="宋体" w:hAnsi="宋体" w:cs="宋体"/>
          <w:color w:val="auto"/>
          <w:highlight w:val="none"/>
        </w:rPr>
        <w:t>20.3在提交响应文件截止时间止提交电子版响应文件的供应商不足3家时，电子版响应文件由代理机构在广西政府采购云平台操作退回，除此之外采购人和采购代理机构对已提交的响应文件概不退回。</w:t>
      </w:r>
    </w:p>
    <w:p>
      <w:pPr>
        <w:tabs>
          <w:tab w:val="left" w:pos="3600"/>
        </w:tabs>
        <w:spacing w:line="440" w:lineRule="exact"/>
        <w:rPr>
          <w:rFonts w:ascii="宋体" w:hAnsi="宋体" w:cs="宋体"/>
          <w:b/>
          <w:color w:val="auto"/>
          <w:szCs w:val="21"/>
          <w:highlight w:val="none"/>
        </w:rPr>
      </w:pPr>
      <w:bookmarkStart w:id="12" w:name="_Toc293863053"/>
      <w:bookmarkStart w:id="13" w:name="_Toc495351941"/>
      <w:bookmarkStart w:id="14" w:name="_Toc495388768"/>
      <w:bookmarkStart w:id="15" w:name="_Toc482865152"/>
      <w:bookmarkStart w:id="16" w:name="_Toc400465713"/>
      <w:bookmarkStart w:id="17" w:name="_Toc293863320"/>
      <w:bookmarkStart w:id="18" w:name="_Toc254970544"/>
      <w:bookmarkStart w:id="19" w:name="_Toc495388445"/>
      <w:bookmarkStart w:id="20" w:name="_Toc482864551"/>
      <w:bookmarkStart w:id="21" w:name="_Toc482865322"/>
      <w:bookmarkStart w:id="22" w:name="_Toc308018677"/>
      <w:bookmarkStart w:id="23" w:name="_Toc254970685"/>
      <w:bookmarkStart w:id="24" w:name="_Toc448421142"/>
      <w:bookmarkStart w:id="25" w:name="_Toc445223680"/>
      <w:bookmarkStart w:id="26" w:name="_Toc483327811"/>
      <w:r>
        <w:rPr>
          <w:rFonts w:hint="eastAsia" w:ascii="宋体" w:hAnsi="宋体" w:cs="宋体"/>
          <w:b/>
          <w:color w:val="auto"/>
          <w:szCs w:val="21"/>
          <w:highlight w:val="none"/>
        </w:rPr>
        <w:t>四、</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hint="eastAsia" w:ascii="宋体" w:hAnsi="宋体" w:cs="宋体"/>
          <w:b/>
          <w:color w:val="auto"/>
          <w:szCs w:val="21"/>
          <w:highlight w:val="none"/>
        </w:rPr>
        <w:t>评审及磋商</w:t>
      </w:r>
    </w:p>
    <w:p>
      <w:pPr>
        <w:snapToGrid w:val="0"/>
        <w:spacing w:line="440" w:lineRule="exact"/>
        <w:jc w:val="left"/>
        <w:rPr>
          <w:rFonts w:ascii="宋体" w:hAnsi="宋体" w:cs="宋体"/>
          <w:b/>
          <w:color w:val="auto"/>
          <w:highlight w:val="none"/>
        </w:rPr>
      </w:pPr>
      <w:r>
        <w:rPr>
          <w:rFonts w:hint="eastAsia" w:ascii="宋体" w:hAnsi="宋体" w:cs="宋体"/>
          <w:b/>
          <w:color w:val="auto"/>
          <w:highlight w:val="none"/>
        </w:rPr>
        <w:t>21.磋商小组成立</w:t>
      </w:r>
    </w:p>
    <w:p>
      <w:pPr>
        <w:snapToGrid w:val="0"/>
        <w:spacing w:line="440" w:lineRule="exact"/>
        <w:jc w:val="left"/>
        <w:rPr>
          <w:rFonts w:ascii="宋体" w:hAnsi="宋体" w:cs="宋体"/>
          <w:color w:val="auto"/>
          <w:highlight w:val="none"/>
        </w:rPr>
      </w:pPr>
      <w:r>
        <w:rPr>
          <w:rFonts w:hint="eastAsia" w:ascii="宋体" w:hAnsi="宋体" w:cs="宋体"/>
          <w:color w:val="auto"/>
          <w:highlight w:val="none"/>
        </w:rPr>
        <w:t>21.1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pPr>
        <w:snapToGrid w:val="0"/>
        <w:spacing w:line="440" w:lineRule="exact"/>
        <w:jc w:val="left"/>
        <w:rPr>
          <w:rFonts w:ascii="宋体" w:hAnsi="宋体" w:cs="宋体"/>
          <w:color w:val="auto"/>
          <w:highlight w:val="none"/>
        </w:rPr>
      </w:pPr>
      <w:r>
        <w:rPr>
          <w:rFonts w:hint="eastAsia" w:ascii="宋体" w:hAnsi="宋体" w:cs="宋体"/>
          <w:color w:val="auto"/>
          <w:highlight w:val="none"/>
        </w:rPr>
        <w:t>21.2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pPr>
        <w:snapToGrid w:val="0"/>
        <w:spacing w:line="440" w:lineRule="exact"/>
        <w:jc w:val="left"/>
        <w:rPr>
          <w:rFonts w:ascii="宋体" w:hAnsi="宋体" w:cs="宋体"/>
          <w:b/>
          <w:color w:val="auto"/>
          <w:highlight w:val="none"/>
        </w:rPr>
      </w:pPr>
      <w:r>
        <w:rPr>
          <w:rFonts w:hint="eastAsia" w:ascii="宋体" w:hAnsi="宋体" w:cs="宋体"/>
          <w:b/>
          <w:color w:val="auto"/>
          <w:highlight w:val="none"/>
        </w:rPr>
        <w:t>22.首次响应文件的开启</w:t>
      </w:r>
    </w:p>
    <w:p>
      <w:pPr>
        <w:snapToGrid w:val="0"/>
        <w:spacing w:line="440" w:lineRule="exact"/>
        <w:jc w:val="left"/>
        <w:rPr>
          <w:rFonts w:ascii="宋体" w:hAnsi="宋体" w:cs="宋体"/>
          <w:color w:val="auto"/>
          <w:highlight w:val="none"/>
        </w:rPr>
      </w:pPr>
      <w:r>
        <w:rPr>
          <w:rFonts w:hint="eastAsia" w:ascii="宋体" w:hAnsi="宋体" w:cs="宋体"/>
          <w:color w:val="auto"/>
          <w:highlight w:val="none"/>
        </w:rPr>
        <w:t>22.1首次响应文件由磋商小组或者采购代理机构在“供应商须知前附表”规定的时间开启。</w:t>
      </w:r>
    </w:p>
    <w:p>
      <w:pPr>
        <w:snapToGrid w:val="0"/>
        <w:spacing w:line="440" w:lineRule="exact"/>
        <w:jc w:val="left"/>
        <w:rPr>
          <w:rFonts w:ascii="宋体" w:hAnsi="宋体" w:cs="宋体"/>
          <w:b/>
          <w:color w:val="auto"/>
          <w:highlight w:val="none"/>
        </w:rPr>
      </w:pPr>
      <w:r>
        <w:rPr>
          <w:rFonts w:hint="eastAsia" w:ascii="宋体" w:hAnsi="宋体" w:cs="宋体"/>
          <w:b/>
          <w:color w:val="auto"/>
          <w:highlight w:val="none"/>
        </w:rPr>
        <w:t>23.响应文件解密</w:t>
      </w:r>
    </w:p>
    <w:p>
      <w:pPr>
        <w:snapToGrid w:val="0"/>
        <w:spacing w:line="440" w:lineRule="exact"/>
        <w:jc w:val="left"/>
        <w:rPr>
          <w:rFonts w:ascii="宋体" w:hAnsi="宋体" w:cs="宋体"/>
          <w:bCs/>
          <w:color w:val="auto"/>
          <w:highlight w:val="none"/>
        </w:rPr>
      </w:pPr>
      <w:r>
        <w:rPr>
          <w:rFonts w:hint="eastAsia" w:ascii="宋体" w:hAnsi="宋体" w:cs="宋体"/>
          <w:color w:val="auto"/>
          <w:highlight w:val="none"/>
        </w:rPr>
        <w:t>23.1采购代理机构将在“供应商须知前附表”规定的时间通过电子交易平台组织响应文件开启采购机构依托电子交易平台发起开始解密指令，供应商的法定代表人或其委托代理人须携带加密时所用的CA锁按平台提示和采购文件的规定登录到广西政府采购云平台电子开标大厅签到并在发起解密指令之时起30分钟内完成对电子响应文件在线解密。发起解密指令之时起5分钟内供应商还未进行解密的，代理机构通知供应商，</w:t>
      </w:r>
      <w:r>
        <w:rPr>
          <w:rFonts w:hint="eastAsia" w:ascii="宋体" w:hAnsi="宋体" w:cs="宋体"/>
          <w:bCs/>
          <w:color w:val="auto"/>
          <w:highlight w:val="none"/>
        </w:rPr>
        <w:t>通知后，</w:t>
      </w:r>
      <w:r>
        <w:rPr>
          <w:rFonts w:hint="eastAsia" w:ascii="宋体" w:hAnsi="宋体" w:cs="宋体"/>
          <w:color w:val="auto"/>
          <w:highlight w:val="none"/>
        </w:rPr>
        <w:t>响应</w:t>
      </w:r>
      <w:r>
        <w:rPr>
          <w:rFonts w:hint="eastAsia" w:ascii="宋体" w:hAnsi="宋体" w:cs="宋体"/>
          <w:bCs/>
          <w:color w:val="auto"/>
          <w:highlight w:val="none"/>
        </w:rPr>
        <w:t>文件仍未按时解密，或者</w:t>
      </w:r>
      <w:r>
        <w:rPr>
          <w:rFonts w:hint="eastAsia" w:ascii="宋体" w:hAnsi="宋体" w:cs="宋体"/>
          <w:color w:val="auto"/>
          <w:highlight w:val="none"/>
        </w:rPr>
        <w:t>供应商</w:t>
      </w:r>
      <w:r>
        <w:rPr>
          <w:rFonts w:hint="eastAsia" w:ascii="宋体" w:hAnsi="宋体" w:cs="宋体"/>
          <w:bCs/>
          <w:color w:val="auto"/>
          <w:highlight w:val="none"/>
        </w:rPr>
        <w:t>没预留联系方式或预留联系方式无效，</w:t>
      </w:r>
      <w:r>
        <w:rPr>
          <w:rFonts w:hint="eastAsia" w:ascii="宋体" w:hAnsi="宋体" w:cs="宋体"/>
          <w:color w:val="auto"/>
          <w:highlight w:val="none"/>
        </w:rPr>
        <w:t>非代理机构原因导致代理机构无法联系到供应商进行解密的</w:t>
      </w:r>
      <w:r>
        <w:rPr>
          <w:rFonts w:hint="eastAsia" w:ascii="宋体" w:hAnsi="宋体" w:cs="宋体"/>
          <w:bCs/>
          <w:color w:val="auto"/>
          <w:highlight w:val="none"/>
        </w:rPr>
        <w:t>，</w:t>
      </w:r>
      <w:r>
        <w:rPr>
          <w:rFonts w:hint="eastAsia" w:ascii="宋体" w:hAnsi="宋体" w:cs="宋体"/>
          <w:color w:val="auto"/>
          <w:highlight w:val="none"/>
        </w:rPr>
        <w:t>视为响应文件无效</w:t>
      </w:r>
      <w:r>
        <w:rPr>
          <w:rFonts w:hint="eastAsia" w:ascii="宋体" w:hAnsi="宋体" w:cs="宋体"/>
          <w:bCs/>
          <w:color w:val="auto"/>
          <w:highlight w:val="none"/>
        </w:rPr>
        <w:t>。</w:t>
      </w:r>
      <w:r>
        <w:rPr>
          <w:rFonts w:hint="eastAsia" w:ascii="宋体" w:hAnsi="宋体" w:cs="宋体"/>
          <w:color w:val="auto"/>
          <w:highlight w:val="none"/>
        </w:rPr>
        <w:t>（解密异常情况处理：详见本章30.电子交易活动的中止。）</w:t>
      </w:r>
    </w:p>
    <w:p>
      <w:pPr>
        <w:snapToGrid w:val="0"/>
        <w:spacing w:line="440" w:lineRule="exact"/>
        <w:jc w:val="left"/>
        <w:rPr>
          <w:rFonts w:ascii="宋体" w:hAnsi="宋体" w:cs="宋体"/>
          <w:color w:val="auto"/>
          <w:highlight w:val="none"/>
        </w:rPr>
      </w:pPr>
      <w:r>
        <w:rPr>
          <w:rFonts w:hint="eastAsia" w:ascii="宋体" w:hAnsi="宋体" w:cs="宋体"/>
          <w:color w:val="auto"/>
          <w:highlight w:val="none"/>
        </w:rPr>
        <w:t>23.2如供应商成功解密响应文件，但未在“广西政府采购云平台”电子开标大厅参加谈判的，视同认可谈判过程和结果，由此产生的后果由供应商自行负责。参与谈判的供应商不足3家的，不得谈判。</w:t>
      </w:r>
    </w:p>
    <w:p>
      <w:pPr>
        <w:snapToGrid w:val="0"/>
        <w:spacing w:line="440" w:lineRule="exact"/>
        <w:jc w:val="left"/>
        <w:rPr>
          <w:rFonts w:ascii="宋体" w:hAnsi="宋体" w:cs="宋体"/>
          <w:b/>
          <w:color w:val="auto"/>
          <w:highlight w:val="none"/>
        </w:rPr>
      </w:pPr>
      <w:r>
        <w:rPr>
          <w:rFonts w:hint="eastAsia" w:ascii="宋体" w:hAnsi="宋体" w:cs="宋体"/>
          <w:b/>
          <w:color w:val="auto"/>
          <w:highlight w:val="none"/>
        </w:rPr>
        <w:t>24.评审程序</w:t>
      </w:r>
    </w:p>
    <w:p>
      <w:pPr>
        <w:snapToGrid w:val="0"/>
        <w:spacing w:line="440" w:lineRule="exact"/>
        <w:jc w:val="left"/>
        <w:rPr>
          <w:rFonts w:ascii="宋体" w:hAnsi="宋体" w:cs="宋体"/>
          <w:color w:val="auto"/>
          <w:highlight w:val="none"/>
        </w:rPr>
      </w:pPr>
      <w:r>
        <w:rPr>
          <w:rFonts w:hint="eastAsia" w:ascii="宋体" w:hAnsi="宋体" w:cs="宋体"/>
          <w:color w:val="auto"/>
          <w:highlight w:val="none"/>
        </w:rPr>
        <w:t>24.1磋商小组按照“第六章评审方法和评审标准”规定的方法、评审因素、标准和程序对响应文件进行评审。</w:t>
      </w:r>
    </w:p>
    <w:p>
      <w:pPr>
        <w:spacing w:line="440" w:lineRule="exact"/>
        <w:rPr>
          <w:rFonts w:ascii="宋体" w:hAnsi="宋体" w:cs="宋体"/>
          <w:color w:val="auto"/>
          <w:highlight w:val="none"/>
        </w:rPr>
      </w:pPr>
      <w:r>
        <w:rPr>
          <w:rFonts w:hint="eastAsia" w:ascii="宋体" w:hAnsi="宋体" w:cs="宋体"/>
          <w:color w:val="auto"/>
          <w:highlight w:val="none"/>
        </w:rPr>
        <w:t>24.2</w:t>
      </w:r>
      <w:r>
        <w:rPr>
          <w:rFonts w:hint="eastAsia" w:ascii="宋体" w:hAnsi="宋体" w:cs="宋体"/>
          <w:bCs/>
          <w:color w:val="auto"/>
          <w:szCs w:val="21"/>
          <w:highlight w:val="none"/>
        </w:rPr>
        <w:t>资格审查</w:t>
      </w:r>
    </w:p>
    <w:p>
      <w:pPr>
        <w:snapToGrid w:val="0"/>
        <w:spacing w:line="440" w:lineRule="exact"/>
        <w:ind w:firstLine="420" w:firstLineChars="200"/>
        <w:rPr>
          <w:rFonts w:ascii="宋体" w:hAnsi="宋体" w:cs="宋体"/>
          <w:bCs/>
          <w:color w:val="auto"/>
          <w:szCs w:val="21"/>
          <w:highlight w:val="none"/>
        </w:rPr>
      </w:pPr>
      <w:r>
        <w:rPr>
          <w:rFonts w:hint="eastAsia" w:ascii="宋体" w:hAnsi="宋体" w:cs="宋体"/>
          <w:color w:val="auto"/>
          <w:szCs w:val="21"/>
          <w:highlight w:val="none"/>
        </w:rPr>
        <w:t>响应文件开启后，磋商小组依法对供应商的资格文件进行审查</w:t>
      </w:r>
      <w:r>
        <w:rPr>
          <w:rFonts w:hint="eastAsia" w:ascii="宋体" w:hAnsi="宋体" w:cs="宋体"/>
          <w:color w:val="auto"/>
          <w:spacing w:val="-2"/>
          <w:szCs w:val="21"/>
          <w:highlight w:val="none"/>
        </w:rPr>
        <w:t>。</w:t>
      </w:r>
      <w:r>
        <w:rPr>
          <w:rFonts w:hint="eastAsia" w:ascii="宋体" w:hAnsi="宋体" w:cs="宋体"/>
          <w:b/>
          <w:bCs/>
          <w:color w:val="auto"/>
          <w:szCs w:val="21"/>
          <w:highlight w:val="none"/>
        </w:rPr>
        <w:t>在资格审查时，如发现下列情形之一的，响应文件将被视为无效：</w:t>
      </w:r>
    </w:p>
    <w:p>
      <w:pPr>
        <w:widowControl/>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（1）不具备招标文件中规定的资格要求的；（注：其中信用查询由采购人或采购代理机构于资格审查时</w:t>
      </w:r>
      <w:r>
        <w:rPr>
          <w:rFonts w:hint="eastAsia" w:ascii="宋体" w:hAnsi="宋体" w:cs="宋体"/>
          <w:color w:val="auto"/>
          <w:szCs w:val="21"/>
          <w:highlight w:val="none"/>
        </w:rPr>
        <w:t>在“信用中国”网站和“中国政府采购网”</w:t>
      </w:r>
      <w:r>
        <w:rPr>
          <w:rFonts w:hint="eastAsia" w:ascii="宋体" w:hAnsi="宋体" w:cs="宋体"/>
          <w:bCs/>
          <w:color w:val="auto"/>
          <w:szCs w:val="21"/>
          <w:highlight w:val="none"/>
        </w:rPr>
        <w:t>对供应商进行信用查询，联合体成员存在不良信用记录的视同联合体存在不良信用记录。）</w:t>
      </w:r>
    </w:p>
    <w:p>
      <w:pPr>
        <w:widowControl/>
        <w:spacing w:line="440" w:lineRule="exact"/>
        <w:ind w:firstLine="408"/>
        <w:jc w:val="left"/>
        <w:rPr>
          <w:rFonts w:ascii="宋体" w:hAnsi="宋体" w:cs="宋体"/>
          <w:bCs/>
          <w:color w:val="auto"/>
          <w:szCs w:val="21"/>
          <w:highlight w:val="none"/>
        </w:rPr>
      </w:pPr>
      <w:r>
        <w:rPr>
          <w:rFonts w:hint="eastAsia" w:ascii="宋体" w:hAnsi="宋体" w:cs="宋体"/>
          <w:bCs/>
          <w:color w:val="auto"/>
          <w:szCs w:val="21"/>
          <w:highlight w:val="none"/>
        </w:rPr>
        <w:t>（2）未提供招标文件中“（一）响应文件的组成1.资格证明文件”要求必须提供的资料的；</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（3）法律、法规和招标文件规定的其他无效情形。</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通过资格审查的合格供应商不足3家的，不得进入符合性审查环节，采购人或者采购代理机构应当重新开展采购活动。</w:t>
      </w:r>
    </w:p>
    <w:p>
      <w:pPr>
        <w:widowControl/>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24.3符合性审查</w:t>
      </w:r>
    </w:p>
    <w:p>
      <w:pPr>
        <w:widowControl/>
        <w:spacing w:line="440" w:lineRule="exact"/>
        <w:ind w:firstLine="420" w:firstLineChars="200"/>
        <w:jc w:val="left"/>
        <w:rPr>
          <w:rFonts w:ascii="宋体" w:hAnsi="宋体" w:cs="宋体"/>
          <w:b/>
          <w:bCs/>
          <w:color w:val="auto"/>
          <w:szCs w:val="21"/>
          <w:highlight w:val="none"/>
        </w:rPr>
      </w:pPr>
      <w:r>
        <w:rPr>
          <w:rFonts w:hint="eastAsia" w:ascii="宋体" w:hAnsi="宋体" w:cs="宋体"/>
          <w:color w:val="auto"/>
          <w:szCs w:val="21"/>
          <w:highlight w:val="none"/>
        </w:rPr>
        <w:t>磋商小组依法对供应商的符合性进行审查</w:t>
      </w:r>
      <w:r>
        <w:rPr>
          <w:rFonts w:hint="eastAsia" w:ascii="宋体" w:hAnsi="宋体" w:cs="宋体"/>
          <w:color w:val="auto"/>
          <w:spacing w:val="-2"/>
          <w:szCs w:val="21"/>
          <w:highlight w:val="none"/>
        </w:rPr>
        <w:t>。</w:t>
      </w:r>
      <w:r>
        <w:rPr>
          <w:rFonts w:hint="eastAsia" w:ascii="宋体" w:hAnsi="宋体" w:cs="宋体"/>
          <w:b/>
          <w:bCs/>
          <w:color w:val="auto"/>
          <w:szCs w:val="21"/>
          <w:highlight w:val="none"/>
        </w:rPr>
        <w:t>在符合性审查时，如发现下列情形之一的，响应文件将被视为无效：</w:t>
      </w:r>
    </w:p>
    <w:p>
      <w:pPr>
        <w:widowControl/>
        <w:spacing w:line="44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（1）未按照招标文件的规定提交磋商保证金的；</w:t>
      </w:r>
    </w:p>
    <w:p>
      <w:pPr>
        <w:widowControl/>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（2）响应文件未按磋商文件要求签署、盖章的；</w:t>
      </w:r>
    </w:p>
    <w:p>
      <w:pPr>
        <w:snapToGrid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（3）投标代表人未能出具身份证明或与法定代表人授权委托人身份不符的；</w:t>
      </w:r>
    </w:p>
    <w:p>
      <w:pPr>
        <w:snapToGrid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（4）响应文件的实质性内容未使用中文表述、意思表述不明确、前后矛盾或者使用计量单位不符合招标文件要求的（经评标委员会认定并允许其当场更正的笔误除外）</w:t>
      </w:r>
    </w:p>
    <w:p>
      <w:pPr>
        <w:snapToGrid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（5）磋商有效期、服务期或交货期、质保期等商务条款不能满足招标文件要求的；</w:t>
      </w:r>
    </w:p>
    <w:p>
      <w:pPr>
        <w:snapToGrid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（6）未实质性响应招标文件要求或者响应文件有招标方不能接受的附加条件的。</w:t>
      </w:r>
    </w:p>
    <w:p>
      <w:pPr>
        <w:snapToGrid w:val="0"/>
        <w:spacing w:line="440" w:lineRule="exact"/>
        <w:ind w:firstLine="411" w:firstLineChars="196"/>
        <w:rPr>
          <w:rFonts w:ascii="宋体" w:hAnsi="宋体" w:cs="宋体"/>
          <w:bCs/>
          <w:color w:val="auto"/>
          <w:szCs w:val="21"/>
          <w:highlight w:val="none"/>
        </w:rPr>
      </w:pPr>
      <w:r>
        <w:rPr>
          <w:rFonts w:hint="eastAsia" w:ascii="宋体" w:hAnsi="宋体" w:cs="宋体"/>
          <w:color w:val="auto"/>
          <w:szCs w:val="21"/>
          <w:highlight w:val="none"/>
        </w:rPr>
        <w:t>（7）</w:t>
      </w:r>
      <w:r>
        <w:rPr>
          <w:rFonts w:hint="eastAsia" w:ascii="宋体" w:hAnsi="宋体" w:cs="宋体"/>
          <w:bCs/>
          <w:color w:val="auto"/>
          <w:szCs w:val="21"/>
          <w:highlight w:val="none"/>
        </w:rPr>
        <w:t>未提供招标文件中“（一）响应文件的组成2.商务和技术文件”要求必须提供的资料的；</w:t>
      </w:r>
    </w:p>
    <w:p>
      <w:pPr>
        <w:snapToGrid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（8）响应文件标明的响应或偏离与事实不符或虚假竞标的；</w:t>
      </w:r>
    </w:p>
    <w:p>
      <w:pPr>
        <w:snapToGrid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（9）明显不符合</w:t>
      </w:r>
      <w:r>
        <w:rPr>
          <w:rFonts w:hint="eastAsia" w:ascii="宋体" w:hAnsi="宋体" w:cs="宋体"/>
          <w:bCs/>
          <w:color w:val="auto"/>
          <w:szCs w:val="21"/>
          <w:highlight w:val="none"/>
        </w:rPr>
        <w:t>竞争性磋商文件</w:t>
      </w:r>
      <w:r>
        <w:rPr>
          <w:rFonts w:hint="eastAsia" w:ascii="宋体" w:hAnsi="宋体" w:cs="宋体"/>
          <w:color w:val="auto"/>
          <w:szCs w:val="21"/>
          <w:highlight w:val="none"/>
        </w:rPr>
        <w:t>要求的质量标准、采购需求，或者与竞争性磋商文件中标“▲”的技术指标、服务需求发生实质性偏离的；</w:t>
      </w:r>
    </w:p>
    <w:p>
      <w:pPr>
        <w:snapToGrid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（10）技术方案不明确，存在一个或一个以上备选（替代）竞标方案的。</w:t>
      </w:r>
    </w:p>
    <w:p>
      <w:pPr>
        <w:snapToGrid w:val="0"/>
        <w:spacing w:line="440" w:lineRule="exact"/>
        <w:ind w:firstLine="411" w:firstLineChars="196"/>
        <w:rPr>
          <w:rFonts w:ascii="宋体" w:hAnsi="宋体" w:cs="宋体"/>
          <w:bCs/>
          <w:color w:val="auto"/>
          <w:szCs w:val="21"/>
          <w:highlight w:val="none"/>
        </w:rPr>
      </w:pPr>
      <w:r>
        <w:rPr>
          <w:rFonts w:hint="eastAsia" w:ascii="宋体" w:hAnsi="宋体" w:cs="宋体"/>
          <w:color w:val="auto"/>
          <w:szCs w:val="21"/>
          <w:highlight w:val="none"/>
        </w:rPr>
        <w:t>（11）</w:t>
      </w:r>
      <w:r>
        <w:rPr>
          <w:rFonts w:hint="eastAsia" w:ascii="宋体" w:hAnsi="宋体" w:cs="宋体"/>
          <w:bCs/>
          <w:color w:val="auto"/>
          <w:szCs w:val="21"/>
          <w:highlight w:val="none"/>
        </w:rPr>
        <w:t>未提供招标文件中“（一）响应文件的组成..报价文件”要求必须提供的资料的；</w:t>
      </w:r>
    </w:p>
    <w:p>
      <w:pPr>
        <w:snapToGrid w:val="0"/>
        <w:spacing w:line="440" w:lineRule="exact"/>
        <w:ind w:firstLine="411" w:firstLineChars="196"/>
        <w:rPr>
          <w:rFonts w:ascii="宋体" w:hAnsi="宋体" w:cs="宋体"/>
          <w:bCs/>
          <w:color w:val="auto"/>
          <w:szCs w:val="21"/>
          <w:highlight w:val="none"/>
        </w:rPr>
      </w:pPr>
      <w:r>
        <w:rPr>
          <w:rFonts w:hint="eastAsia" w:ascii="宋体" w:hAnsi="宋体" w:cs="宋体"/>
          <w:bCs/>
          <w:color w:val="auto"/>
          <w:szCs w:val="21"/>
          <w:highlight w:val="none"/>
        </w:rPr>
        <w:t>（12）报价超过招标文件中规定的预算金额或者最高限价的；</w:t>
      </w:r>
    </w:p>
    <w:p>
      <w:pPr>
        <w:snapToGrid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（13）未采用人民币报价或者未按照招标文件标明的币种报价的；</w:t>
      </w:r>
    </w:p>
    <w:p>
      <w:pPr>
        <w:snapToGrid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（14）竞标报价具有选择性，或者开标价格与响应文件承诺的优惠（折扣）价格不一致的；</w:t>
      </w:r>
    </w:p>
    <w:p>
      <w:pPr>
        <w:widowControl/>
        <w:spacing w:line="440" w:lineRule="exac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（15）法律、法规和招标文件规定的其他无效情形。</w:t>
      </w:r>
    </w:p>
    <w:p>
      <w:pPr>
        <w:snapToGrid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pPr>
        <w:snapToGrid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pPr>
        <w:snapToGrid w:val="0"/>
        <w:spacing w:line="440" w:lineRule="exact"/>
        <w:jc w:val="left"/>
        <w:rPr>
          <w:rFonts w:ascii="宋体" w:hAnsi="宋体" w:cs="宋体"/>
          <w:b/>
          <w:color w:val="auto"/>
          <w:highlight w:val="none"/>
        </w:rPr>
      </w:pPr>
      <w:r>
        <w:rPr>
          <w:rFonts w:hint="eastAsia" w:ascii="宋体" w:hAnsi="宋体" w:cs="宋体"/>
          <w:b/>
          <w:color w:val="auto"/>
          <w:highlight w:val="none"/>
        </w:rPr>
        <w:t>25.磋商程序</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25.1磋商小组按照“供应商须知前附表”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25.2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25.3对磋商文件作出的实质性变动是磋商文件的有效组成部分，由磋商小组及时以电子澄清函形式同时通知所有参加磋商的供应商。</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25.4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25.5磋商中，磋商的任何一方不得透露与磋商有关的其他供应商的技术资料、价格和其他信息。</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25.6磋商小组应对磋商过程和重要磋商内容进行记录，作为评标报告一部分，磋商小组在记录上签字确认。</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25.7磋商过程中重新提交的响应文件，供应商可以在开启前补充、修改。</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25.8对磋商过程提交的响应文件进行有效性、完整性和响应程度审查，通过审查的合格供应商不足3家的，采购人或者采购代理机构应当重新开展采购活动。</w:t>
      </w:r>
    </w:p>
    <w:p>
      <w:pPr>
        <w:snapToGrid w:val="0"/>
        <w:spacing w:line="440" w:lineRule="exact"/>
        <w:rPr>
          <w:rFonts w:ascii="宋体" w:hAnsi="宋体" w:cs="宋体"/>
          <w:b/>
          <w:color w:val="auto"/>
          <w:szCs w:val="21"/>
          <w:highlight w:val="none"/>
        </w:rPr>
      </w:pPr>
      <w:r>
        <w:rPr>
          <w:rFonts w:hint="eastAsia" w:ascii="宋体" w:hAnsi="宋体" w:cs="宋体"/>
          <w:b/>
          <w:color w:val="auto"/>
          <w:szCs w:val="21"/>
          <w:highlight w:val="none"/>
        </w:rPr>
        <w:t>26.最后报价</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26.1磋商文件能够详细列明采购标的的技术、服务要求的，磋商结束后，由磋商小组要求所有继续参加磋商的供应商在规定时间内密封提交最后报价，除本章第26.3条</w:t>
      </w:r>
      <w:r>
        <w:rPr>
          <w:rFonts w:hint="eastAsia" w:ascii="宋体" w:hAnsi="宋体" w:cs="宋体"/>
          <w:color w:val="auto"/>
          <w:highlight w:val="none"/>
        </w:rPr>
        <w:t>以及</w:t>
      </w:r>
      <w:r>
        <w:rPr>
          <w:rFonts w:hint="eastAsia" w:ascii="宋体" w:hAnsi="宋体" w:cs="宋体"/>
          <w:color w:val="auto"/>
          <w:szCs w:val="21"/>
          <w:highlight w:val="none"/>
        </w:rPr>
        <w:t>《财政部关于政府采购竞争性磋商采购方式管理暂行办法有关问题的补充通知》（财库〔2015〕124号）规定外，提交最后报价的供应商不得少于3家，否则必须重新采购。</w:t>
      </w:r>
      <w:r>
        <w:rPr>
          <w:rFonts w:hint="eastAsia" w:ascii="宋体" w:hAnsi="宋体" w:cs="宋体"/>
          <w:color w:val="auto"/>
          <w:kern w:val="0"/>
          <w:szCs w:val="21"/>
          <w:highlight w:val="none"/>
        </w:rPr>
        <w:t>继续参加磋商的供应商</w:t>
      </w:r>
      <w:r>
        <w:rPr>
          <w:rFonts w:hint="eastAsia" w:ascii="宋体" w:hAnsi="宋体" w:cs="宋体"/>
          <w:color w:val="auto"/>
          <w:szCs w:val="21"/>
          <w:highlight w:val="none"/>
        </w:rPr>
        <w:t>作最后报价</w:t>
      </w:r>
      <w:r>
        <w:rPr>
          <w:rFonts w:hint="eastAsia" w:ascii="宋体" w:hAnsi="宋体" w:cs="宋体"/>
          <w:b/>
          <w:color w:val="auto"/>
          <w:szCs w:val="21"/>
          <w:highlight w:val="none"/>
        </w:rPr>
        <w:t>并附相应的最后报价明细表（报价明细表按第四章要求格式填写），最后报价和相应的最后报价明细表须由其法定代表人或授权代表签字或者加盖电子公章</w:t>
      </w:r>
      <w:r>
        <w:rPr>
          <w:rFonts w:hint="eastAsia" w:ascii="宋体" w:hAnsi="宋体" w:cs="宋体"/>
          <w:b/>
          <w:color w:val="auto"/>
          <w:kern w:val="0"/>
          <w:szCs w:val="21"/>
          <w:highlight w:val="none"/>
        </w:rPr>
        <w:t>后递交</w:t>
      </w:r>
      <w:r>
        <w:rPr>
          <w:rFonts w:hint="eastAsia" w:ascii="宋体" w:hAnsi="宋体" w:cs="宋体"/>
          <w:b/>
          <w:color w:val="auto"/>
          <w:szCs w:val="21"/>
          <w:highlight w:val="none"/>
        </w:rPr>
        <w:t>。</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26.2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26.3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26.4已经提交响应文件的供应商，在提交最后报价之前，可以根据磋商情况退出磋商，退出磋商的供应商的响应文件按无效响应处理。</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26.5供应商未在规定时间内提交最后报价的，视同退出磋商。</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26.6磋商小组收齐项目或某一分标最后报价后统一开启，磋商小组对最后报价进行有效性、完整性和响应程度的审查。</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26.7最终响应文件的报价出现前后不一致的，按照本章第29.1条的规定修正。</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26.8修正后的最终报价出现下列情形的，按无效响应处理：</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（2）经供应商确认修正后的响应报价（包含首次报价、最后报价）超过所竞标分标规定的采购预算金额或者最高限价的（如本项目公布了最高限价）；</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26.9经供应商确认修正后的最后报价作为评审及签订合同的依据。</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26.10供应商出现最后报价按无效响应处理或者响应文件按无效处理时，磋商小组应当告知有关供应商。</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26.11最后报价结束后，磋商小组不得再与供应商进行任何形式的商谈。</w:t>
      </w:r>
    </w:p>
    <w:p>
      <w:pPr>
        <w:snapToGrid w:val="0"/>
        <w:spacing w:line="440" w:lineRule="exact"/>
        <w:rPr>
          <w:rFonts w:ascii="宋体" w:hAnsi="宋体" w:cs="宋体"/>
          <w:b/>
          <w:color w:val="auto"/>
          <w:szCs w:val="21"/>
          <w:highlight w:val="none"/>
        </w:rPr>
      </w:pPr>
      <w:r>
        <w:rPr>
          <w:rFonts w:hint="eastAsia" w:ascii="宋体" w:hAnsi="宋体" w:cs="宋体"/>
          <w:b/>
          <w:color w:val="auto"/>
          <w:szCs w:val="21"/>
          <w:highlight w:val="none"/>
        </w:rPr>
        <w:t>27.比较与评价</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27.1评审方法：综合评分法。</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27.2经磋商确定最终采购需求和提交最后报价的供应商后，由磋商小组采用综合评分法对提交最后报价的供应商的响应文件和最后报价进行综合评分。</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27.3评审时，磋商小组各成员应当独立对每个有效响应的文件进行评价、打分，然后汇总每个供应商每项评分因素的得分。</w:t>
      </w:r>
    </w:p>
    <w:p>
      <w:pPr>
        <w:snapToGrid w:val="0"/>
        <w:spacing w:line="44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pPr>
        <w:snapToGrid w:val="0"/>
        <w:spacing w:line="44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27.4评审价为供应商的最后报价进行政策性扣除后的价格，评审价只是作为评审时使用。最终成交供应商的成交金额等于最后报价（如有修正，以确认修正后的最后报价为准）。</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27.5由磋商小组根据综合评分情况，按照评审得分由高到低顺序推荐3名以上成交候选供应商，并编写评审报告。符合本章第26.3条情形的，可以推荐2家成交候选供应商。评审得分相同的，按照最后报价由低到高的顺序推荐。评审得分且最后报价相同的，按照技术指标优劣顺序推荐。</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27.6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napToGrid w:val="0"/>
        <w:spacing w:line="440" w:lineRule="exact"/>
        <w:rPr>
          <w:rFonts w:ascii="宋体" w:hAnsi="宋体" w:cs="宋体"/>
          <w:b/>
          <w:color w:val="auto"/>
          <w:szCs w:val="21"/>
          <w:highlight w:val="none"/>
        </w:rPr>
      </w:pPr>
      <w:r>
        <w:rPr>
          <w:rFonts w:hint="eastAsia" w:ascii="宋体" w:hAnsi="宋体" w:cs="宋体"/>
          <w:b/>
          <w:color w:val="auto"/>
          <w:szCs w:val="21"/>
          <w:highlight w:val="none"/>
        </w:rPr>
        <w:t>28.澄清问题的形式</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28.1对于响应文件中含义不明确、同类问题表述不一致或者有明显文字和计算错误的内容，评标委员会应在</w:t>
      </w:r>
      <w:r>
        <w:rPr>
          <w:rFonts w:hint="eastAsia" w:ascii="宋体" w:hAnsi="宋体" w:cs="宋体"/>
          <w:color w:val="auto"/>
          <w:highlight w:val="none"/>
        </w:rPr>
        <w:t>广西政府采购云平台</w:t>
      </w:r>
      <w:r>
        <w:rPr>
          <w:rFonts w:hint="eastAsia" w:ascii="宋体" w:hAnsi="宋体" w:cs="宋体"/>
          <w:color w:val="auto"/>
          <w:szCs w:val="21"/>
          <w:highlight w:val="none"/>
        </w:rPr>
        <w:t>发布电子澄清函，要求供应商在规定时间内作出必要的澄清、说明或者补正。供应商在</w:t>
      </w:r>
      <w:r>
        <w:rPr>
          <w:rFonts w:hint="eastAsia" w:ascii="宋体" w:hAnsi="宋体" w:cs="宋体"/>
          <w:color w:val="auto"/>
          <w:highlight w:val="none"/>
        </w:rPr>
        <w:t>广西政府采购云平台</w:t>
      </w:r>
      <w:r>
        <w:rPr>
          <w:rFonts w:hint="eastAsia" w:ascii="宋体" w:hAnsi="宋体" w:cs="宋体"/>
          <w:color w:val="auto"/>
          <w:szCs w:val="21"/>
          <w:highlight w:val="none"/>
        </w:rPr>
        <w:t>接收到电子澄清函后根据澄清函内容上传PDF格式回函，电子澄清答复函使用CA证书加盖单位公章后在线上传至评标委员会。供应商的澄清、说明或者补正不得超出响应文件的范围或者改变响应文件的实质性内容。供应商未在规定时间内进行澄清、说明或者补正的，按无效竞标处理。</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28.2异常情况处理：如遇无法正常使用线上发送澄清函的情况，将启动书面形式办理。启动书面形式办理的情况下，评标委员会以书面形式要求供应商在规定时间内作出必要的澄清、说明或者补正。供应商的澄清、说明或者补正必须采用书面形式，并加盖公章，或者由法定代表人或者其授权的代表签字。</w:t>
      </w:r>
    </w:p>
    <w:p>
      <w:pPr>
        <w:widowControl/>
        <w:tabs>
          <w:tab w:val="left" w:pos="540"/>
        </w:tabs>
        <w:spacing w:line="440" w:lineRule="exact"/>
        <w:jc w:val="left"/>
        <w:rPr>
          <w:rFonts w:ascii="宋体" w:hAnsi="宋体" w:cs="宋体"/>
          <w:b/>
          <w:color w:val="auto"/>
          <w:szCs w:val="21"/>
          <w:highlight w:val="none"/>
        </w:rPr>
      </w:pPr>
      <w:r>
        <w:rPr>
          <w:rFonts w:hint="eastAsia" w:ascii="宋体" w:hAnsi="宋体" w:cs="宋体"/>
          <w:b/>
          <w:color w:val="auto"/>
          <w:szCs w:val="21"/>
          <w:highlight w:val="none"/>
        </w:rPr>
        <w:t>29.错误修正</w:t>
      </w:r>
    </w:p>
    <w:p>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29.1竞争性磋商响应文件如果出现计算或表达上的错误，修正错误的原则如下：</w:t>
      </w:r>
    </w:p>
    <w:p>
      <w:pPr>
        <w:widowControl/>
        <w:spacing w:line="440" w:lineRule="exact"/>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（1）响应文件中开标一览表（报价表）内容与响应文件中相应内容不一致的，以开标一览表（报价表）为准；</w:t>
      </w:r>
    </w:p>
    <w:p>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（3）单价金额小数点或者百分比有明显错位的，以开标一览表的总价为准，并修改单价；</w:t>
      </w:r>
    </w:p>
    <w:p>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pPr>
        <w:widowControl/>
        <w:tabs>
          <w:tab w:val="left" w:pos="540"/>
        </w:tabs>
        <w:spacing w:line="440" w:lineRule="exact"/>
        <w:jc w:val="left"/>
        <w:rPr>
          <w:rFonts w:ascii="宋体" w:hAnsi="宋体" w:cs="宋体"/>
          <w:b/>
          <w:color w:val="auto"/>
          <w:szCs w:val="21"/>
          <w:highlight w:val="none"/>
        </w:rPr>
      </w:pPr>
      <w:r>
        <w:rPr>
          <w:rFonts w:hint="eastAsia" w:ascii="宋体" w:hAnsi="宋体" w:cs="宋体"/>
          <w:b/>
          <w:color w:val="auto"/>
          <w:highlight w:val="none"/>
        </w:rPr>
        <w:t>同时出现两种以上不一致的，按照前款规定的顺序修正。修正后的报价经供应商确认并加盖公章或者由法定代表人或其授权的代表签字后产生约束力，供应商不确认的，其竞标无效。</w:t>
      </w:r>
    </w:p>
    <w:p>
      <w:pPr>
        <w:widowControl/>
        <w:tabs>
          <w:tab w:val="left" w:pos="540"/>
        </w:tabs>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29.2经供应商确认修正后的首次及最后报价若超过采购预算金额，供应商的响应文件作无效处理。</w:t>
      </w:r>
    </w:p>
    <w:p>
      <w:pPr>
        <w:widowControl/>
        <w:tabs>
          <w:tab w:val="left" w:pos="540"/>
        </w:tabs>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29.3经供应商确认修正后的最后报价作为评审及签订合同的依据。</w:t>
      </w:r>
    </w:p>
    <w:p>
      <w:pPr>
        <w:widowControl/>
        <w:spacing w:line="440" w:lineRule="exact"/>
        <w:jc w:val="left"/>
        <w:rPr>
          <w:rFonts w:ascii="宋体" w:hAnsi="宋体" w:cs="宋体"/>
          <w:b/>
          <w:color w:val="auto"/>
          <w:szCs w:val="21"/>
          <w:highlight w:val="none"/>
        </w:rPr>
      </w:pPr>
      <w:r>
        <w:rPr>
          <w:rFonts w:hint="eastAsia" w:ascii="宋体" w:hAnsi="宋体" w:cs="宋体"/>
          <w:b/>
          <w:color w:val="auto"/>
          <w:szCs w:val="21"/>
          <w:highlight w:val="none"/>
        </w:rPr>
        <w:t>30.电子交易活动的中止</w:t>
      </w:r>
    </w:p>
    <w:p>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30.1采购过程中出现以下情形，导致电子交易平台无法正常运行，或者无法保证电子交易的公平、公正和安全时，采购机构可中止电子交易活动：</w:t>
      </w:r>
    </w:p>
    <w:p>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（1）电子交易平台发生故障而无法登录访问的；</w:t>
      </w:r>
    </w:p>
    <w:p>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（2）电子交易平台应用或数据库出现错误，不能进行正常操作的；</w:t>
      </w:r>
    </w:p>
    <w:p>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（3）电子交易平台发现严重安全漏洞，有潜在泄密危险的；</w:t>
      </w:r>
    </w:p>
    <w:p>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（4）病毒发作导致不能进行正常操作的；</w:t>
      </w:r>
    </w:p>
    <w:p>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（4）其他无法保证电子交易的公平、公正和安全的情况。</w:t>
      </w:r>
    </w:p>
    <w:p>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30.2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widowControl/>
        <w:tabs>
          <w:tab w:val="left" w:pos="540"/>
        </w:tabs>
        <w:spacing w:line="440" w:lineRule="exact"/>
        <w:jc w:val="left"/>
        <w:rPr>
          <w:rFonts w:ascii="宋体" w:hAnsi="宋体" w:cs="宋体"/>
          <w:b/>
          <w:color w:val="auto"/>
          <w:szCs w:val="21"/>
          <w:highlight w:val="none"/>
        </w:rPr>
      </w:pPr>
      <w:r>
        <w:rPr>
          <w:rFonts w:hint="eastAsia" w:ascii="宋体" w:hAnsi="宋体" w:cs="宋体"/>
          <w:b/>
          <w:color w:val="auto"/>
          <w:szCs w:val="21"/>
          <w:highlight w:val="none"/>
        </w:rPr>
        <w:t>31.评委表决</w:t>
      </w:r>
    </w:p>
    <w:p>
      <w:pPr>
        <w:widowControl/>
        <w:tabs>
          <w:tab w:val="left" w:pos="540"/>
        </w:tabs>
        <w:spacing w:line="440" w:lineRule="exact"/>
        <w:jc w:val="left"/>
        <w:rPr>
          <w:rFonts w:ascii="宋体" w:hAnsi="宋体" w:cs="宋体"/>
          <w:color w:val="auto"/>
          <w:szCs w:val="21"/>
          <w:highlight w:val="none"/>
        </w:rPr>
      </w:pPr>
      <w:r>
        <w:rPr>
          <w:rFonts w:hint="eastAsia" w:ascii="宋体" w:hAnsi="宋体" w:cs="宋体"/>
          <w:color w:val="auto"/>
          <w:szCs w:val="21"/>
          <w:highlight w:val="none"/>
        </w:rPr>
        <w:t>31.1在评标过程中出现法律法规和竞争性磋商文件均没有明确规定的情形时，由磋商小组现场协商解决，协商不一致的，由全体评委投票表决，以得票率二分之一以上专家的意见为准。</w:t>
      </w:r>
    </w:p>
    <w:p>
      <w:pPr>
        <w:widowControl/>
        <w:tabs>
          <w:tab w:val="left" w:pos="540"/>
        </w:tabs>
        <w:spacing w:line="440" w:lineRule="exact"/>
        <w:jc w:val="left"/>
        <w:rPr>
          <w:rFonts w:ascii="宋体" w:hAnsi="宋体" w:cs="宋体"/>
          <w:b/>
          <w:color w:val="auto"/>
          <w:szCs w:val="21"/>
          <w:highlight w:val="none"/>
        </w:rPr>
      </w:pPr>
      <w:r>
        <w:rPr>
          <w:rFonts w:hint="eastAsia" w:ascii="宋体" w:hAnsi="宋体" w:cs="宋体"/>
          <w:b/>
          <w:color w:val="auto"/>
          <w:szCs w:val="21"/>
          <w:highlight w:val="none"/>
        </w:rPr>
        <w:t>32.评审过程的监控</w:t>
      </w:r>
    </w:p>
    <w:p>
      <w:pPr>
        <w:widowControl/>
        <w:tabs>
          <w:tab w:val="left" w:pos="540"/>
        </w:tabs>
        <w:spacing w:line="440" w:lineRule="exact"/>
        <w:jc w:val="left"/>
        <w:rPr>
          <w:rFonts w:ascii="宋体" w:hAnsi="宋体" w:cs="宋体"/>
          <w:color w:val="auto"/>
          <w:szCs w:val="21"/>
          <w:highlight w:val="none"/>
        </w:rPr>
      </w:pPr>
      <w:r>
        <w:rPr>
          <w:rFonts w:hint="eastAsia" w:ascii="宋体" w:hAnsi="宋体" w:cs="宋体"/>
          <w:color w:val="auto"/>
          <w:highlight w:val="none"/>
        </w:rPr>
        <w:t>32.1本项目电子评标过程实行网上留痕、全程录音、录像监控，供应商在评审过程中所进行的试图影响评审结果的不公正活动，可能导致其竞争性磋商被拒绝。</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五、成交及合同</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33.确定成交供应商</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33.1</w:t>
      </w:r>
      <w:r>
        <w:rPr>
          <w:rFonts w:hint="eastAsia" w:ascii="宋体" w:hAnsi="宋体" w:cs="宋体"/>
          <w:color w:val="auto"/>
          <w:kern w:val="0"/>
          <w:szCs w:val="21"/>
          <w:highlight w:val="none"/>
        </w:rPr>
        <w:t>根据以下原则确定成交供应商：</w:t>
      </w:r>
      <w:r>
        <w:rPr>
          <w:rFonts w:hint="eastAsia" w:ascii="宋体" w:hAnsi="宋体" w:cs="宋体"/>
          <w:color w:val="auto"/>
          <w:kern w:val="0"/>
          <w:highlight w:val="none"/>
        </w:rPr>
        <w:t>响应文件满足磋商文件全部实质性要求且按评审因素的量化指标评审得分最高的供应商为成交供应商。</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33.2采购代理机构将在评标结束后两个工作日内将评标报告送采购人，采购人在五个工作日内按照评标报告中推荐的成交候选人顺序确定成交人。采购人也可以事先授权磋商小组直接确定成交人。</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33.3成交供应商确定后二个工作日内，</w:t>
      </w:r>
      <w:r>
        <w:rPr>
          <w:rFonts w:hint="eastAsia" w:ascii="宋体" w:hAnsi="宋体" w:cs="宋体"/>
          <w:color w:val="auto"/>
          <w:highlight w:val="none"/>
        </w:rPr>
        <w:t>采购代理机构或采购人</w:t>
      </w:r>
      <w:r>
        <w:rPr>
          <w:rFonts w:hint="eastAsia" w:ascii="宋体" w:hAnsi="宋体" w:cs="宋体"/>
          <w:color w:val="auto"/>
          <w:kern w:val="0"/>
          <w:highlight w:val="none"/>
        </w:rPr>
        <w:t>应当对成交人信用进行核实</w:t>
      </w:r>
      <w:r>
        <w:rPr>
          <w:rFonts w:hint="eastAsia" w:ascii="宋体" w:hAnsi="宋体" w:cs="宋体"/>
          <w:color w:val="auto"/>
          <w:highlight w:val="none"/>
        </w:rPr>
        <w:t>，如其未被列入失信被执行人、重大税收违法案件当事人名单、政府采购严重违法失信行为记录名单，则采购代理机构在公告发布媒体中标公告；如其被列入失信被执行人、重大税收违法案件当事人名单、政府采购严重违法失信行为记录名单，则取消其中标资格，</w:t>
      </w:r>
      <w:r>
        <w:rPr>
          <w:rFonts w:hint="eastAsia" w:ascii="宋体" w:hAnsi="宋体" w:cs="宋体"/>
          <w:color w:val="auto"/>
          <w:spacing w:val="-3"/>
          <w:highlight w:val="none"/>
        </w:rPr>
        <w:t>并确定排名第二的中标候选人为中标人。排名第二的中标候选人因前款规定的同样原因被取消中标资格的，采购人可以确定排名第三的中标候选人为中标人。以上信息查询记录</w:t>
      </w:r>
      <w:r>
        <w:rPr>
          <w:rFonts w:hint="eastAsia" w:ascii="宋体" w:hAnsi="宋体" w:cs="宋体"/>
          <w:color w:val="auto"/>
          <w:highlight w:val="none"/>
        </w:rPr>
        <w:t>及相关证据与采购文件一并保存。</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33.4</w:t>
      </w:r>
      <w:r>
        <w:rPr>
          <w:rFonts w:hint="eastAsia" w:ascii="宋体" w:hAnsi="宋体" w:cs="宋体"/>
          <w:color w:val="auto"/>
          <w:highlight w:val="none"/>
        </w:rPr>
        <w:t>在发布成交公告的同时，采购代理机构向成交供应商</w:t>
      </w:r>
      <w:r>
        <w:rPr>
          <w:rFonts w:hint="eastAsia" w:ascii="宋体" w:hAnsi="宋体" w:cs="宋体"/>
          <w:color w:val="auto"/>
          <w:kern w:val="0"/>
          <w:highlight w:val="none"/>
        </w:rPr>
        <w:t>通过</w:t>
      </w:r>
      <w:r>
        <w:rPr>
          <w:rFonts w:hint="eastAsia" w:ascii="宋体" w:hAnsi="宋体" w:cs="宋体"/>
          <w:color w:val="auto"/>
          <w:highlight w:val="none"/>
        </w:rPr>
        <w:t>广西政府采购云平台</w:t>
      </w:r>
      <w:r>
        <w:rPr>
          <w:rFonts w:hint="eastAsia" w:ascii="宋体" w:hAnsi="宋体" w:cs="宋体"/>
          <w:color w:val="auto"/>
          <w:kern w:val="0"/>
          <w:highlight w:val="none"/>
        </w:rPr>
        <w:t>发出电子</w:t>
      </w:r>
      <w:r>
        <w:rPr>
          <w:rFonts w:hint="eastAsia" w:ascii="宋体" w:hAnsi="宋体" w:cs="宋体"/>
          <w:color w:val="auto"/>
          <w:highlight w:val="none"/>
        </w:rPr>
        <w:t>成交通知书。</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33.5供应商认为竞争性磋商采购文件、招标过程和成交结果使自己的权益受到损害的，可以在知道或者应知其权益受到损害之日起七个工作日内，以书面形式向招标采购单位提出质疑，并及时索要书面回执。</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33.6采购代理机构应当按照有关规定就采购人委托授权范围内的事项在收到供应商的书面质疑后七个工作日内做出答复，但答复的内容不得涉及商业秘密。</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34.签订合同</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34.1成交供应商应在成交通知书发出之日起二十五日内，按磋商文件确定的合同文本及采购标的、规格型号、采购金额、采购数量、技术和服务要求等事项与采购人签订政府采购合同。如成交供应商为联合体的，由联合体成员各方法定代表人或其授权代表与采购人代表签订合同。</w:t>
      </w:r>
      <w:r>
        <w:rPr>
          <w:rFonts w:hint="eastAsia" w:ascii="宋体" w:hAnsi="宋体" w:cs="宋体"/>
          <w:color w:val="auto"/>
          <w:kern w:val="0"/>
          <w:highlight w:val="none"/>
        </w:rPr>
        <w:t>电子采购合同需要供应商通过有效CA证书进行电子签名与签章。</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34.2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34.3如成交人不按成交通知书的规定签订合同，则按成交人违约处理，采购代理机构将没收成交人投标的全部磋商保证金并上缴同级财政国库。</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34.4成交人拒绝签订政府采购合同或者因不可抗力或自身原因不能履行采购合同的，采购人可以按照评审报告推荐的成交候选人名单排序，确定下一候选人为成交供应商，也可以重新开展采购活动。拒绝签订政府采购合同的成交供应商不得参加对该项目重新开展的采购活动。</w:t>
      </w:r>
    </w:p>
    <w:p>
      <w:pPr>
        <w:spacing w:line="440" w:lineRule="exact"/>
        <w:rPr>
          <w:rFonts w:ascii="宋体" w:hAnsi="宋体" w:cs="宋体"/>
          <w:color w:val="auto"/>
          <w:highlight w:val="none"/>
        </w:rPr>
      </w:pPr>
      <w:r>
        <w:rPr>
          <w:rFonts w:hint="eastAsia" w:ascii="宋体" w:hAnsi="宋体" w:cs="宋体"/>
          <w:color w:val="auto"/>
          <w:szCs w:val="21"/>
          <w:highlight w:val="none"/>
        </w:rPr>
        <w:t>34.5政府采</w:t>
      </w:r>
      <w:r>
        <w:rPr>
          <w:rFonts w:hint="eastAsia" w:ascii="宋体" w:hAnsi="宋体" w:cs="宋体"/>
          <w:color w:val="auto"/>
          <w:highlight w:val="none"/>
        </w:rPr>
        <w:t>购合同公告：采购人或者受托采购代理机构应当自政府采购合同签订之日起2个工作日内，将政府采购合同在“广西政府采购网”（http://zfcg.gxzf.gov.cn）上发布公告，但政府采购合同中涉及国家秘密、商业秘密的内容除外。因此请各供应商应在响应文件中注明投标内容中涉及商业秘密的部分，未注明的视为响应文件中不涉及商业秘密。</w:t>
      </w:r>
    </w:p>
    <w:p>
      <w:pPr>
        <w:pStyle w:val="23"/>
        <w:snapToGrid w:val="0"/>
        <w:spacing w:line="440" w:lineRule="exact"/>
        <w:rPr>
          <w:rFonts w:hAnsi="宋体" w:cs="宋体"/>
          <w:b/>
          <w:color w:val="auto"/>
          <w:highlight w:val="none"/>
        </w:rPr>
      </w:pPr>
      <w:r>
        <w:rPr>
          <w:rFonts w:hint="eastAsia" w:hAnsi="宋体" w:cs="宋体"/>
          <w:b/>
          <w:color w:val="auto"/>
          <w:highlight w:val="none"/>
        </w:rPr>
        <w:t>34.6履约保证金</w:t>
      </w:r>
    </w:p>
    <w:p>
      <w:pPr>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34.6.1履约保证金金额：详见供应商须知前附</w:t>
      </w:r>
      <w:r>
        <w:rPr>
          <w:rFonts w:hint="eastAsia" w:ascii="宋体" w:hAnsi="宋体" w:cs="宋体"/>
          <w:color w:val="auto"/>
          <w:szCs w:val="21"/>
          <w:highlight w:val="none"/>
        </w:rPr>
        <w:t>表</w:t>
      </w:r>
      <w:r>
        <w:rPr>
          <w:rFonts w:hint="eastAsia" w:ascii="宋体" w:hAnsi="宋体" w:cs="宋体"/>
          <w:color w:val="auto"/>
          <w:kern w:val="0"/>
          <w:szCs w:val="21"/>
          <w:highlight w:val="none"/>
        </w:rPr>
        <w:t>。</w:t>
      </w:r>
    </w:p>
    <w:p>
      <w:pPr>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34.6.2履约保证金递交时间：详见供应商须知前附</w:t>
      </w:r>
      <w:r>
        <w:rPr>
          <w:rFonts w:hint="eastAsia" w:ascii="宋体" w:hAnsi="宋体" w:cs="宋体"/>
          <w:color w:val="auto"/>
          <w:szCs w:val="21"/>
          <w:highlight w:val="none"/>
        </w:rPr>
        <w:t>表，未在规定时间内足额缴纳履约保证金的，不予签订合同</w:t>
      </w:r>
      <w:r>
        <w:rPr>
          <w:rFonts w:hint="eastAsia" w:ascii="宋体" w:hAnsi="宋体" w:cs="宋体"/>
          <w:color w:val="auto"/>
          <w:kern w:val="0"/>
          <w:szCs w:val="21"/>
          <w:highlight w:val="none"/>
        </w:rPr>
        <w:t>。</w:t>
      </w:r>
    </w:p>
    <w:p>
      <w:pPr>
        <w:pStyle w:val="23"/>
        <w:snapToGrid w:val="0"/>
        <w:spacing w:line="440" w:lineRule="exact"/>
        <w:rPr>
          <w:rFonts w:hAnsi="宋体" w:cs="宋体"/>
          <w:color w:val="auto"/>
          <w:highlight w:val="none"/>
        </w:rPr>
      </w:pPr>
      <w:r>
        <w:rPr>
          <w:rFonts w:hint="eastAsia" w:hAnsi="宋体" w:cs="宋体"/>
          <w:color w:val="auto"/>
          <w:highlight w:val="none"/>
        </w:rPr>
        <w:t>34.6.3</w:t>
      </w:r>
      <w:r>
        <w:rPr>
          <w:rFonts w:hint="eastAsia" w:hAnsi="宋体" w:cs="宋体"/>
          <w:color w:val="auto"/>
          <w:sz w:val="21"/>
          <w:highlight w:val="none"/>
        </w:rPr>
        <w:t>在履约保证金退还日期前，若</w:t>
      </w:r>
      <w:r>
        <w:rPr>
          <w:rFonts w:hint="eastAsia" w:hAnsi="宋体" w:cs="宋体"/>
          <w:color w:val="auto"/>
          <w:highlight w:val="none"/>
        </w:rPr>
        <w:t>中标</w:t>
      </w:r>
      <w:r>
        <w:rPr>
          <w:rFonts w:hint="eastAsia" w:hAnsi="宋体" w:cs="宋体"/>
          <w:color w:val="auto"/>
          <w:sz w:val="21"/>
          <w:highlight w:val="none"/>
        </w:rPr>
        <w:t>供应商的开户名称、开户银行、</w:t>
      </w:r>
      <w:r>
        <w:rPr>
          <w:rFonts w:hint="eastAsia" w:hAnsi="宋体" w:cs="宋体"/>
          <w:color w:val="auto"/>
          <w:sz w:val="21"/>
          <w:highlight w:val="none"/>
          <w:lang w:val="en-US" w:eastAsia="zh-CN"/>
        </w:rPr>
        <w:t>账</w:t>
      </w:r>
      <w:r>
        <w:rPr>
          <w:rFonts w:hint="eastAsia" w:hAnsi="宋体" w:cs="宋体"/>
          <w:color w:val="auto"/>
          <w:sz w:val="21"/>
          <w:highlight w:val="none"/>
        </w:rPr>
        <w:t>号有变动的，请以书面形式通知保证金收取单位，否则由此产生的后果由</w:t>
      </w:r>
      <w:r>
        <w:rPr>
          <w:rFonts w:hint="eastAsia" w:hAnsi="宋体" w:cs="宋体"/>
          <w:color w:val="auto"/>
          <w:highlight w:val="none"/>
        </w:rPr>
        <w:t>中标</w:t>
      </w:r>
      <w:r>
        <w:rPr>
          <w:rFonts w:hint="eastAsia" w:hAnsi="宋体" w:cs="宋体"/>
          <w:color w:val="auto"/>
          <w:sz w:val="21"/>
          <w:highlight w:val="none"/>
        </w:rPr>
        <w:t>供应商自负。</w:t>
      </w:r>
    </w:p>
    <w:p>
      <w:pPr>
        <w:spacing w:line="440" w:lineRule="exact"/>
        <w:rPr>
          <w:rFonts w:ascii="宋体" w:hAnsi="宋体" w:cs="宋体"/>
          <w:b/>
          <w:bCs/>
          <w:color w:val="auto"/>
          <w:highlight w:val="none"/>
        </w:rPr>
      </w:pPr>
      <w:r>
        <w:rPr>
          <w:rFonts w:hint="eastAsia" w:ascii="宋体" w:hAnsi="宋体" w:cs="宋体"/>
          <w:b/>
          <w:bCs/>
          <w:color w:val="auto"/>
          <w:highlight w:val="none"/>
        </w:rPr>
        <w:t>六、验收</w:t>
      </w:r>
    </w:p>
    <w:p>
      <w:pPr>
        <w:spacing w:line="440" w:lineRule="exact"/>
        <w:rPr>
          <w:rFonts w:ascii="宋体" w:hAnsi="宋体" w:cs="宋体"/>
          <w:b/>
          <w:bCs/>
          <w:color w:val="auto"/>
          <w:highlight w:val="none"/>
        </w:rPr>
      </w:pPr>
      <w:r>
        <w:rPr>
          <w:rFonts w:hint="eastAsia" w:ascii="宋体" w:hAnsi="宋体" w:cs="宋体"/>
          <w:b/>
          <w:bCs/>
          <w:color w:val="auto"/>
          <w:highlight w:val="none"/>
        </w:rPr>
        <w:t>35.验收</w:t>
      </w:r>
    </w:p>
    <w:p>
      <w:pPr>
        <w:spacing w:line="440" w:lineRule="exact"/>
        <w:rPr>
          <w:rFonts w:ascii="宋体" w:hAnsi="宋体" w:cs="宋体"/>
          <w:bCs/>
          <w:color w:val="auto"/>
          <w:highlight w:val="none"/>
        </w:rPr>
      </w:pPr>
      <w:r>
        <w:rPr>
          <w:rFonts w:hint="eastAsia" w:ascii="宋体" w:hAnsi="宋体" w:cs="宋体"/>
          <w:bCs/>
          <w:color w:val="auto"/>
          <w:highlight w:val="none"/>
        </w:rPr>
        <w:t>35.1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spacing w:line="440" w:lineRule="exact"/>
        <w:rPr>
          <w:rFonts w:ascii="宋体" w:hAnsi="宋体" w:cs="宋体"/>
          <w:bCs/>
          <w:color w:val="auto"/>
          <w:highlight w:val="none"/>
        </w:rPr>
      </w:pPr>
      <w:r>
        <w:rPr>
          <w:rFonts w:hint="eastAsia" w:ascii="宋体" w:hAnsi="宋体" w:cs="宋体"/>
          <w:bCs/>
          <w:color w:val="auto"/>
          <w:highlight w:val="none"/>
        </w:rPr>
        <w:t>35.2采购人可以邀请参加本项目的其他供应商或者第三方机构参与验收。参与验收的供应商或者第三方机构的意见作为验收书的参考资料一并存档。</w:t>
      </w:r>
    </w:p>
    <w:p>
      <w:pPr>
        <w:spacing w:line="440" w:lineRule="exact"/>
        <w:rPr>
          <w:rFonts w:ascii="宋体" w:hAnsi="宋体" w:cs="宋体"/>
          <w:bCs/>
          <w:color w:val="auto"/>
          <w:highlight w:val="none"/>
        </w:rPr>
      </w:pPr>
      <w:r>
        <w:rPr>
          <w:rFonts w:hint="eastAsia" w:ascii="宋体" w:hAnsi="宋体" w:cs="宋体"/>
          <w:bCs/>
          <w:color w:val="auto"/>
          <w:highlight w:val="none"/>
        </w:rPr>
        <w:t>35.3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spacing w:line="440" w:lineRule="exact"/>
        <w:rPr>
          <w:rFonts w:ascii="宋体" w:hAnsi="宋体" w:cs="宋体"/>
          <w:bCs/>
          <w:color w:val="auto"/>
          <w:highlight w:val="none"/>
        </w:rPr>
      </w:pPr>
      <w:r>
        <w:rPr>
          <w:rFonts w:hint="eastAsia" w:ascii="宋体" w:hAnsi="宋体" w:cs="宋体"/>
          <w:bCs/>
          <w:color w:val="auto"/>
          <w:highlight w:val="none"/>
        </w:rPr>
        <w:t>35.4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spacing w:line="440" w:lineRule="exact"/>
        <w:rPr>
          <w:rFonts w:ascii="宋体" w:hAnsi="宋体" w:cs="宋体"/>
          <w:bCs/>
          <w:color w:val="auto"/>
          <w:highlight w:val="none"/>
        </w:rPr>
      </w:pPr>
      <w:r>
        <w:rPr>
          <w:rFonts w:hint="eastAsia" w:ascii="宋体" w:hAnsi="宋体" w:cs="宋体"/>
          <w:bCs/>
          <w:color w:val="auto"/>
          <w:highlight w:val="none"/>
        </w:rPr>
        <w:t>35.5项目验收完毕，成交供应商将壹份《广西壮族自治区政府采购项目合同验收书》（格式详见附件）送采购代理机构存档。</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七、其他事项</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36.需要补充的其他内容</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36.1本招标文件解释规则详见“供应商须知前附表”。</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37.2其他事项详见“供应商须知前附表”。</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37.成交服务费</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37.1成交服务费：本项目成交服务费按</w:t>
      </w:r>
      <w:r>
        <w:rPr>
          <w:rFonts w:hint="eastAsia" w:ascii="宋体" w:hAnsi="宋体" w:cs="宋体"/>
          <w:color w:val="auto"/>
          <w:highlight w:val="none"/>
        </w:rPr>
        <w:t>《招标代理服务收费管理暂行办法》（计价格[2002]1980号）收费标准和发改办[2003]857号文规定向中标人收取</w:t>
      </w:r>
      <w:r>
        <w:rPr>
          <w:rFonts w:hint="eastAsia" w:ascii="宋体" w:hAnsi="宋体" w:cs="宋体"/>
          <w:color w:val="auto"/>
          <w:szCs w:val="21"/>
          <w:highlight w:val="none"/>
        </w:rPr>
        <w:t>。</w:t>
      </w:r>
      <w:r>
        <w:rPr>
          <w:rFonts w:hint="eastAsia" w:ascii="宋体" w:hAnsi="宋体" w:cs="宋体"/>
          <w:color w:val="auto"/>
          <w:highlight w:val="none"/>
        </w:rPr>
        <w:t>领取成交通知书时，成交人应向采购代理机构一次付清成交服务费。</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37.2成交服务费收费标准：</w:t>
      </w:r>
    </w:p>
    <w:tbl>
      <w:tblPr>
        <w:tblStyle w:val="41"/>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7"/>
        <w:gridCol w:w="1808"/>
        <w:gridCol w:w="2061"/>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3617" w:type="dxa"/>
            <w:tcBorders>
              <w:top w:val="single" w:color="auto" w:sz="4" w:space="0"/>
              <w:left w:val="single" w:color="auto" w:sz="4" w:space="0"/>
              <w:bottom w:val="single" w:color="auto" w:sz="4" w:space="0"/>
              <w:right w:val="single" w:color="auto" w:sz="4" w:space="0"/>
            </w:tcBorders>
          </w:tcPr>
          <w:p>
            <w:pPr>
              <w:spacing w:line="440" w:lineRule="exact"/>
              <w:ind w:firstLine="1640" w:firstLineChars="781"/>
              <w:rPr>
                <w:rFonts w:ascii="宋体" w:hAnsi="宋体" w:cs="宋体"/>
                <w:b/>
                <w:bCs/>
                <w:color w:val="auto"/>
                <w:szCs w:val="21"/>
                <w:highlight w:val="none"/>
              </w:rPr>
            </w:pPr>
            <w:r>
              <w:rPr>
                <w:rFonts w:hint="eastAsia" w:ascii="宋体" w:hAnsi="宋体" w:cs="宋体"/>
                <w:color w:val="auto"/>
                <w:szCs w:val="21"/>
                <w:highlight w:val="none"/>
              </w:rPr>
              <mc:AlternateContent>
                <mc:Choice Requires="wps">
                  <w:drawing>
                    <wp:anchor distT="0" distB="0" distL="114300" distR="114300" simplePos="0" relativeHeight="251667456" behindDoc="0" locked="0" layoutInCell="1" allowOverlap="1">
                      <wp:simplePos x="0" y="0"/>
                      <wp:positionH relativeFrom="column">
                        <wp:posOffset>372110</wp:posOffset>
                      </wp:positionH>
                      <wp:positionV relativeFrom="paragraph">
                        <wp:posOffset>-635</wp:posOffset>
                      </wp:positionV>
                      <wp:extent cx="1849120" cy="1120140"/>
                      <wp:effectExtent l="0" t="0" r="17780" b="22860"/>
                      <wp:wrapNone/>
                      <wp:docPr id="12" name="直接连接符 3"/>
                      <wp:cNvGraphicFramePr/>
                      <a:graphic xmlns:a="http://schemas.openxmlformats.org/drawingml/2006/main">
                        <a:graphicData uri="http://schemas.microsoft.com/office/word/2010/wordprocessingShape">
                          <wps:wsp>
                            <wps:cNvCnPr>
                              <a:cxnSpLocks noChangeShapeType="1"/>
                            </wps:cNvCnPr>
                            <wps:spPr bwMode="auto">
                              <a:xfrm flipH="1" flipV="1">
                                <a:off x="0" y="0"/>
                                <a:ext cx="1849120" cy="1120140"/>
                              </a:xfrm>
                              <a:prstGeom prst="line">
                                <a:avLst/>
                              </a:prstGeom>
                              <a:noFill/>
                              <a:ln w="9525">
                                <a:solidFill>
                                  <a:srgbClr val="000000"/>
                                </a:solidFill>
                                <a:round/>
                              </a:ln>
                              <a:effectLst/>
                            </wps:spPr>
                            <wps:bodyPr/>
                          </wps:wsp>
                        </a:graphicData>
                      </a:graphic>
                    </wp:anchor>
                  </w:drawing>
                </mc:Choice>
                <mc:Fallback>
                  <w:pict>
                    <v:line id="直接连接符 3" o:spid="_x0000_s1026" o:spt="20" style="position:absolute;left:0pt;flip:x y;margin-left:29.3pt;margin-top:-0.05pt;height:88.2pt;width:145.6pt;z-index:251667456;mso-width-relative:page;mso-height-relative:page;" filled="f" stroked="t" coordsize="21600,21600" o:gfxdata="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hzmajUAAAACAEAAA8AAAAAAAAAAQAgAAAAIgAAAGRycy9kb3ducmV2LnhtbFBL&#10;AQIUABQAAAAIAIdO4kDqjHrk+gEAANMDAAAOAAAAAAAAAAEAIAAAACMBAABkcnMvZTJvRG9jLnht&#10;bFBLBQYAAAAABgAGAFkBAACPBQAAAAA=&#10;">
                      <v:fill on="f" focussize="0,0"/>
                      <v:stroke color="#000000" joinstyle="round"/>
                      <v:imagedata o:title=""/>
                      <o:lock v:ext="edit" aspectratio="f"/>
                    </v:line>
                  </w:pict>
                </mc:Fallback>
              </mc:AlternateContent>
            </w:r>
            <w:r>
              <w:rPr>
                <w:rFonts w:hint="eastAsia" w:ascii="宋体" w:hAnsi="宋体" w:cs="宋体"/>
                <w:color w:val="auto"/>
                <w:szCs w:val="21"/>
                <w:highlight w:val="none"/>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-6350</wp:posOffset>
                      </wp:positionV>
                      <wp:extent cx="635" cy="0"/>
                      <wp:effectExtent l="0" t="0" r="0" b="0"/>
                      <wp:wrapNone/>
                      <wp:docPr id="11"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a:effectLst/>
                            </wps:spPr>
                            <wps:bodyPr/>
                          </wps:wsp>
                        </a:graphicData>
                      </a:graphic>
                    </wp:anchor>
                  </w:drawing>
                </mc:Choice>
                <mc:Fallback>
                  <w:pict>
                    <v:line id="直接连接符 2" o:spid="_x0000_s1026" o:spt="20" style="position:absolute;left:0pt;margin-left:-9pt;margin-top:-0.5pt;height:0pt;width:0.05pt;z-index:251668480;mso-width-relative:page;mso-height-relative:page;" filled="f" stroked="t" coordsize="21600,21600"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5HTftUAAAAJ&#10;AQAADwAAAAAAAAABACAAAAAiAAAAZHJzL2Rvd25yZXYueG1sUEsBAhQAFAAAAAgAh07iQMQqwlbm&#10;AQAAtQMAAA4AAAAAAAAAAQAgAAAAJAEAAGRycy9lMm9Eb2MueG1sUEsFBgAAAAAGAAYAWQEAAHwF&#10;AAAAAA==&#10;">
                      <v:fill on="f" focussize="0,0"/>
                      <v:stroke color="#000000" joinstyle="round"/>
                      <v:imagedata o:title=""/>
                      <o:lock v:ext="edit" aspectratio="f"/>
                    </v:line>
                  </w:pict>
                </mc:Fallback>
              </mc:AlternateContent>
            </w:r>
            <w:r>
              <w:rPr>
                <w:rFonts w:hint="eastAsia" w:ascii="宋体" w:hAnsi="宋体" w:cs="宋体"/>
                <w:b/>
                <w:bCs/>
                <w:color w:val="auto"/>
                <w:szCs w:val="21"/>
                <w:highlight w:val="none"/>
              </w:rPr>
              <w:t>服务类型</w:t>
            </w:r>
          </w:p>
          <w:p>
            <w:pPr>
              <w:spacing w:line="440" w:lineRule="exact"/>
              <w:ind w:firstLine="211" w:firstLineChars="100"/>
              <w:rPr>
                <w:rFonts w:ascii="宋体" w:hAnsi="宋体" w:cs="宋体"/>
                <w:b/>
                <w:bCs/>
                <w:color w:val="auto"/>
                <w:szCs w:val="21"/>
                <w:highlight w:val="none"/>
              </w:rPr>
            </w:pPr>
            <w:r>
              <w:rPr>
                <w:rFonts w:hint="eastAsia" w:ascii="宋体" w:hAnsi="宋体" w:cs="宋体"/>
                <w:b/>
                <w:bCs/>
                <w:color w:val="auto"/>
                <w:szCs w:val="21"/>
                <w:highlight w:val="none"/>
              </w:rPr>
              <w:t>费率　　　　　　　　</w:t>
            </w:r>
          </w:p>
          <w:p>
            <w:pPr>
              <w:spacing w:line="440" w:lineRule="exact"/>
              <w:rPr>
                <w:rFonts w:ascii="宋体" w:hAnsi="宋体" w:cs="宋体"/>
                <w:b/>
                <w:bCs/>
                <w:color w:val="auto"/>
                <w:szCs w:val="21"/>
                <w:highlight w:val="none"/>
              </w:rPr>
            </w:pPr>
            <w:r>
              <w:rPr>
                <w:rFonts w:hint="eastAsia" w:ascii="宋体" w:hAnsi="宋体" w:cs="宋体"/>
                <w:color w:val="auto"/>
                <w:szCs w:val="21"/>
                <w:highlight w:val="none"/>
              </w:rPr>
              <mc:AlternateContent>
                <mc:Choice Requires="wps">
                  <w:drawing>
                    <wp:anchor distT="0" distB="0" distL="114300" distR="114300" simplePos="0" relativeHeight="251669504" behindDoc="0" locked="0" layoutInCell="1" allowOverlap="1">
                      <wp:simplePos x="0" y="0"/>
                      <wp:positionH relativeFrom="column">
                        <wp:posOffset>-71755</wp:posOffset>
                      </wp:positionH>
                      <wp:positionV relativeFrom="paragraph">
                        <wp:posOffset>67945</wp:posOffset>
                      </wp:positionV>
                      <wp:extent cx="2316480" cy="491490"/>
                      <wp:effectExtent l="0" t="0" r="26670" b="22860"/>
                      <wp:wrapNone/>
                      <wp:docPr id="10" name="直接连接符 1"/>
                      <wp:cNvGraphicFramePr/>
                      <a:graphic xmlns:a="http://schemas.openxmlformats.org/drawingml/2006/main">
                        <a:graphicData uri="http://schemas.microsoft.com/office/word/2010/wordprocessingShape">
                          <wps:wsp>
                            <wps:cNvCnPr>
                              <a:cxnSpLocks noChangeShapeType="1"/>
                            </wps:cNvCnPr>
                            <wps:spPr bwMode="auto">
                              <a:xfrm flipH="1" flipV="1">
                                <a:off x="0" y="0"/>
                                <a:ext cx="2316480" cy="491490"/>
                              </a:xfrm>
                              <a:prstGeom prst="line">
                                <a:avLst/>
                              </a:prstGeom>
                              <a:noFill/>
                              <a:ln w="9525">
                                <a:solidFill>
                                  <a:srgbClr val="000000"/>
                                </a:solidFill>
                                <a:round/>
                              </a:ln>
                              <a:effectLst/>
                            </wps:spPr>
                            <wps:bodyPr/>
                          </wps:wsp>
                        </a:graphicData>
                      </a:graphic>
                    </wp:anchor>
                  </w:drawing>
                </mc:Choice>
                <mc:Fallback>
                  <w:pict>
                    <v:line id="直接连接符 1" o:spid="_x0000_s1026" o:spt="20" style="position:absolute;left:0pt;flip:x y;margin-left:-5.65pt;margin-top:5.35pt;height:38.7pt;width:182.4pt;z-index:251669504;mso-width-relative:page;mso-height-relative:page;" filled="f" stroked="t" coordsize="21600,21600" o:gfxdata="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CBWDI1AAAAAkBAAAPAAAAAAAAAAEAIAAAACIAAABkcnMvZG93bnJldi54bWxQ&#10;SwECFAAUAAAACACHTuJANIG4gPsBAADSAwAADgAAAAAAAAABACAAAAAjAQAAZHJzL2Uyb0RvYy54&#10;bWxQSwUGAAAAAAYABgBZAQAAkAUAAAAA&#10;">
                      <v:fill on="f" focussize="0,0"/>
                      <v:stroke color="#000000" joinstyle="round"/>
                      <v:imagedata o:title=""/>
                      <o:lock v:ext="edit" aspectratio="f"/>
                    </v:line>
                  </w:pict>
                </mc:Fallback>
              </mc:AlternateContent>
            </w:r>
            <w:r>
              <w:rPr>
                <w:rFonts w:hint="eastAsia" w:ascii="宋体" w:hAnsi="宋体" w:cs="宋体"/>
                <w:b/>
                <w:bCs/>
                <w:color w:val="auto"/>
                <w:szCs w:val="21"/>
                <w:highlight w:val="none"/>
              </w:rPr>
              <w:t>　　　</w:t>
            </w:r>
          </w:p>
          <w:p>
            <w:pPr>
              <w:spacing w:line="440" w:lineRule="exact"/>
              <w:rPr>
                <w:rFonts w:ascii="宋体" w:hAnsi="宋体" w:cs="宋体"/>
                <w:b/>
                <w:bCs/>
                <w:color w:val="auto"/>
                <w:szCs w:val="21"/>
                <w:highlight w:val="none"/>
              </w:rPr>
            </w:pPr>
            <w:r>
              <w:rPr>
                <w:rFonts w:hint="eastAsia" w:ascii="宋体" w:hAnsi="宋体" w:cs="宋体"/>
                <w:b/>
                <w:bCs/>
                <w:color w:val="auto"/>
                <w:szCs w:val="21"/>
                <w:highlight w:val="none"/>
              </w:rPr>
              <w:t>成交金额（万元）</w:t>
            </w:r>
          </w:p>
        </w:tc>
        <w:tc>
          <w:tcPr>
            <w:tcW w:w="18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货物采购</w:t>
            </w:r>
          </w:p>
        </w:tc>
        <w:tc>
          <w:tcPr>
            <w:tcW w:w="20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服务采购</w:t>
            </w:r>
          </w:p>
        </w:tc>
        <w:tc>
          <w:tcPr>
            <w:tcW w:w="187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36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100以下</w:t>
            </w:r>
          </w:p>
        </w:tc>
        <w:tc>
          <w:tcPr>
            <w:tcW w:w="18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1.5％</w:t>
            </w:r>
          </w:p>
        </w:tc>
        <w:tc>
          <w:tcPr>
            <w:tcW w:w="20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1.5％</w:t>
            </w:r>
          </w:p>
        </w:tc>
        <w:tc>
          <w:tcPr>
            <w:tcW w:w="187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6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100-500</w:t>
            </w:r>
          </w:p>
        </w:tc>
        <w:tc>
          <w:tcPr>
            <w:tcW w:w="18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1.1％</w:t>
            </w:r>
          </w:p>
        </w:tc>
        <w:tc>
          <w:tcPr>
            <w:tcW w:w="20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0.8％</w:t>
            </w:r>
          </w:p>
        </w:tc>
        <w:tc>
          <w:tcPr>
            <w:tcW w:w="187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6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500-1000</w:t>
            </w:r>
          </w:p>
        </w:tc>
        <w:tc>
          <w:tcPr>
            <w:tcW w:w="18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0.8％</w:t>
            </w:r>
          </w:p>
        </w:tc>
        <w:tc>
          <w:tcPr>
            <w:tcW w:w="20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0.45％</w:t>
            </w:r>
          </w:p>
        </w:tc>
        <w:tc>
          <w:tcPr>
            <w:tcW w:w="187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36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1000-5000</w:t>
            </w:r>
          </w:p>
        </w:tc>
        <w:tc>
          <w:tcPr>
            <w:tcW w:w="18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0.5％</w:t>
            </w:r>
          </w:p>
        </w:tc>
        <w:tc>
          <w:tcPr>
            <w:tcW w:w="20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0.25％</w:t>
            </w:r>
          </w:p>
        </w:tc>
        <w:tc>
          <w:tcPr>
            <w:tcW w:w="187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36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5000-10000</w:t>
            </w:r>
          </w:p>
        </w:tc>
        <w:tc>
          <w:tcPr>
            <w:tcW w:w="18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0.25％</w:t>
            </w:r>
          </w:p>
        </w:tc>
        <w:tc>
          <w:tcPr>
            <w:tcW w:w="20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0.1％</w:t>
            </w:r>
          </w:p>
        </w:tc>
        <w:tc>
          <w:tcPr>
            <w:tcW w:w="187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36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10000-100000</w:t>
            </w:r>
          </w:p>
        </w:tc>
        <w:tc>
          <w:tcPr>
            <w:tcW w:w="18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0.05％</w:t>
            </w:r>
          </w:p>
        </w:tc>
        <w:tc>
          <w:tcPr>
            <w:tcW w:w="20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0.05％</w:t>
            </w:r>
          </w:p>
        </w:tc>
        <w:tc>
          <w:tcPr>
            <w:tcW w:w="187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0.05％</w:t>
            </w:r>
          </w:p>
        </w:tc>
      </w:tr>
    </w:tbl>
    <w:p>
      <w:pPr>
        <w:pStyle w:val="23"/>
        <w:snapToGrid w:val="0"/>
        <w:spacing w:line="440" w:lineRule="exact"/>
        <w:ind w:firstLine="411" w:firstLineChars="196"/>
        <w:rPr>
          <w:rFonts w:hAnsi="宋体" w:cs="宋体"/>
          <w:color w:val="auto"/>
          <w:kern w:val="2"/>
          <w:sz w:val="21"/>
          <w:highlight w:val="none"/>
        </w:rPr>
      </w:pPr>
      <w:r>
        <w:rPr>
          <w:rFonts w:hint="eastAsia" w:hAnsi="宋体" w:cs="宋体"/>
          <w:color w:val="auto"/>
          <w:kern w:val="2"/>
          <w:sz w:val="21"/>
          <w:highlight w:val="none"/>
        </w:rPr>
        <w:t>注：招标代理服务费收费按差额定率累进法计算。</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38.供应商信用查询相关规定</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38.1信用查询渠道：“信用中国”网站（www.creditchina.gov.cn）、中国政府采购网（www.ccgp.gov.cn）；</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38.2信用查询截止时点：资格审查时。</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38.3信用信息查询记录：“列入失信被执行人”、“重大税收违法案件当事人名单”、“政府采购严重违法失信行为记录名单”。</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38.4信用信息的使用规则：如供应商被列入“列入失信被执行人”、“重大税收违法案件当事人名单”、“政府采购严重违法失信行为记录名单”等名单内的，将按照信用信息使用规则处理。</w:t>
      </w:r>
    </w:p>
    <w:p>
      <w:pPr>
        <w:spacing w:line="440" w:lineRule="exact"/>
        <w:rPr>
          <w:rFonts w:ascii="宋体" w:hAnsi="宋体" w:cs="宋体"/>
          <w:color w:val="auto"/>
          <w:highlight w:val="none"/>
        </w:rPr>
      </w:pPr>
      <w:r>
        <w:rPr>
          <w:rFonts w:hint="eastAsia" w:ascii="宋体" w:hAnsi="宋体" w:cs="宋体"/>
          <w:color w:val="auto"/>
          <w:szCs w:val="21"/>
          <w:highlight w:val="none"/>
        </w:rPr>
        <w:t>38.5证据留存方式：</w:t>
      </w:r>
      <w:r>
        <w:rPr>
          <w:rFonts w:hint="eastAsia" w:ascii="宋体" w:hAnsi="宋体" w:cs="宋体"/>
          <w:color w:val="auto"/>
          <w:highlight w:val="none"/>
        </w:rPr>
        <w:t>在查询网站中直接截图查询记录，截图作为在广西政府采购云平台作为附件上传保存。</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39.关于中小企业的相关规定</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39.1根据《政府采购促进中小企业发展管理办法》（财库[2020]46号），本招标文件中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39.2供应商提供的货物、工程或者服务符合下列情形的，享受中小企业扶持政策：①在货物采购项目中，货物由中小企业制造，即货物由中小企业生产且使用该中小企业商号或者注册商标；②在工程采购项目中，工程由中小企业承建，即工程施工单位为中小企业；③在服务采购项目中，服务由中小企业承接，即提供服务的人员为中小企业依照《中华人民共和国劳动合同法》订立劳动合同的从业人员。</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39.3在货物采购项目中，供应商提供的货物既有中小企业制造货物，也有大型企业制造货物的，不享受中小企业扶持政策。</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39.4以联合体形式参加政府采购活动，联合体各方均为中小企业的，联合体视同中小企业。其中，联合体各方均为小微企业的，联合体视同小微企业。</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联合体参与政府采购项目的，联合体各方所提供货物、工程、服务均为中小企业制造、承建、承接的，联合体视同中小企业，享受对中小企业的预留份额政策；联合体各方提供货物、工程、服务均为小微企业制造、承建、承接的，联合体视同小微企业，享受对小微企业的预留份额政策。</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39.5享受中小企业扶持政策获得政府采购合同的，小微企业不得将合同分包给大中型企业，中型企业不得将合同分包给大型企业。</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39.6供应商（货物项目时为投标产品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39.7供应商（货物项目时为投标产品提供企业）按《三部门联合发布关于促进残疾人就业政府采购政策的通知》（财库[2017]141号）认定为残疾人福利性单位的，视同小型、微型企业；残疾人福利性单位参加政府采购活动时，应当提供《残疾人福利性单位声明函》。残疾人福利性单位属于小型、微型企业的，不重复享受政策。</w:t>
      </w:r>
    </w:p>
    <w:p>
      <w:pPr>
        <w:spacing w:line="440" w:lineRule="exact"/>
        <w:rPr>
          <w:rFonts w:ascii="宋体" w:hAnsi="宋体" w:cs="宋体"/>
          <w:color w:val="auto"/>
          <w:highlight w:val="none"/>
        </w:rPr>
      </w:pPr>
      <w:r>
        <w:rPr>
          <w:rFonts w:hint="eastAsia" w:ascii="宋体" w:hAnsi="宋体" w:cs="宋体"/>
          <w:color w:val="auto"/>
          <w:szCs w:val="21"/>
          <w:highlight w:val="none"/>
        </w:rPr>
        <w:t>39.8对于专门面向中小企业采购的采购项目或者采购包，通过发布公告方式邀请供应商后，符合资格条件的中小企业数量不足3家的，应当中止采购活动，视同非专门面向中小企业采购的采购项目或者采购包，按照《政府采购促进中小企业发展管理办法》（财库[2020]46号）第九条有关规定重新组织采购活动。</w:t>
      </w:r>
      <w:r>
        <w:rPr>
          <w:rFonts w:hint="eastAsia" w:ascii="宋体" w:hAnsi="宋体" w:cs="宋体"/>
          <w:color w:val="auto"/>
          <w:sz w:val="32"/>
          <w:szCs w:val="32"/>
          <w:highlight w:val="none"/>
        </w:rPr>
        <w:br w:type="page"/>
      </w:r>
      <w:r>
        <w:rPr>
          <w:rFonts w:hint="eastAsia" w:ascii="宋体" w:hAnsi="宋体" w:cs="宋体"/>
          <w:color w:val="auto"/>
          <w:highlight w:val="none"/>
        </w:rPr>
        <w:t>附件1：</w:t>
      </w:r>
    </w:p>
    <w:p>
      <w:pPr>
        <w:widowControl/>
        <w:shd w:val="clear" w:color="auto" w:fill="FFFFFF"/>
        <w:spacing w:line="240" w:lineRule="atLeast"/>
        <w:jc w:val="center"/>
        <w:rPr>
          <w:rFonts w:ascii="宋体" w:hAnsi="宋体" w:cs="宋体"/>
          <w:color w:val="auto"/>
          <w:kern w:val="0"/>
          <w:szCs w:val="21"/>
          <w:highlight w:val="none"/>
        </w:rPr>
      </w:pPr>
      <w:r>
        <w:rPr>
          <w:rFonts w:hint="eastAsia" w:ascii="宋体" w:hAnsi="宋体" w:cs="宋体"/>
          <w:b/>
          <w:bCs/>
          <w:color w:val="auto"/>
          <w:kern w:val="0"/>
          <w:szCs w:val="21"/>
          <w:highlight w:val="none"/>
        </w:rPr>
        <w:t>广西壮族自治区政府采购项目</w:t>
      </w:r>
      <w:r>
        <w:rPr>
          <w:rFonts w:hint="eastAsia" w:ascii="宋体" w:hAnsi="宋体" w:cs="宋体"/>
          <w:b/>
          <w:color w:val="auto"/>
          <w:kern w:val="0"/>
          <w:szCs w:val="21"/>
          <w:highlight w:val="none"/>
        </w:rPr>
        <w:t>合同验收书（格式）</w:t>
      </w:r>
    </w:p>
    <w:p>
      <w:pPr>
        <w:widowControl/>
        <w:shd w:val="clear" w:color="auto" w:fill="FFFFFF"/>
        <w:snapToGrid w:val="0"/>
        <w:spacing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项目名称  </w:t>
      </w:r>
      <w:r>
        <w:rPr>
          <w:rFonts w:hint="eastAsia" w:ascii="宋体" w:hAnsi="宋体" w:cs="宋体"/>
          <w:color w:val="auto"/>
          <w:kern w:val="0"/>
          <w:szCs w:val="21"/>
          <w:highlight w:val="none"/>
        </w:rPr>
        <w:t>）政府采购项目中标（或成交）供应商（</w:t>
      </w:r>
      <w:r>
        <w:rPr>
          <w:rFonts w:hint="eastAsia" w:ascii="宋体" w:hAnsi="宋体" w:cs="宋体"/>
          <w:color w:val="auto"/>
          <w:kern w:val="0"/>
          <w:szCs w:val="21"/>
          <w:highlight w:val="none"/>
          <w:u w:val="single"/>
        </w:rPr>
        <w:t>           公司名称             </w:t>
      </w:r>
      <w:r>
        <w:rPr>
          <w:rFonts w:hint="eastAsia" w:ascii="宋体" w:hAnsi="宋体" w:cs="宋体"/>
          <w:color w:val="auto"/>
          <w:kern w:val="0"/>
          <w:szCs w:val="21"/>
          <w:highlight w:val="none"/>
        </w:rPr>
        <w:t>）提供的货物（或工程、服务）进行了验收，验收情况如下：</w:t>
      </w:r>
    </w:p>
    <w:tbl>
      <w:tblPr>
        <w:tblStyle w:val="41"/>
        <w:tblW w:w="9457" w:type="dxa"/>
        <w:jc w:val="center"/>
        <w:tblLayout w:type="fixed"/>
        <w:tblCellMar>
          <w:top w:w="0" w:type="dxa"/>
          <w:left w:w="0" w:type="dxa"/>
          <w:bottom w:w="0" w:type="dxa"/>
          <w:right w:w="0" w:type="dxa"/>
        </w:tblCellMar>
      </w:tblPr>
      <w:tblGrid>
        <w:gridCol w:w="1037"/>
        <w:gridCol w:w="2163"/>
        <w:gridCol w:w="891"/>
        <w:gridCol w:w="2648"/>
        <w:gridCol w:w="219"/>
        <w:gridCol w:w="843"/>
        <w:gridCol w:w="1656"/>
      </w:tblGrid>
      <w:tr>
        <w:tblPrEx>
          <w:tblCellMar>
            <w:top w:w="0" w:type="dxa"/>
            <w:left w:w="0" w:type="dxa"/>
            <w:bottom w:w="0" w:type="dxa"/>
            <w:right w:w="0" w:type="dxa"/>
          </w:tblCellMar>
        </w:tblPrEx>
        <w:trPr>
          <w:trHeight w:val="497" w:hRule="atLeast"/>
          <w:jc w:val="center"/>
        </w:trPr>
        <w:tc>
          <w:tcPr>
            <w:tcW w:w="3200" w:type="dxa"/>
            <w:gridSpan w:val="2"/>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24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6257" w:type="dxa"/>
            <w:gridSpan w:val="5"/>
            <w:tcBorders>
              <w:top w:val="single" w:color="auto" w:sz="8" w:space="0"/>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center"/>
              <w:rPr>
                <w:rFonts w:ascii="宋体" w:hAnsi="宋体" w:cs="宋体"/>
                <w:color w:val="auto"/>
                <w:kern w:val="0"/>
                <w:szCs w:val="21"/>
                <w:highlight w:val="none"/>
              </w:rPr>
            </w:pPr>
            <w:r>
              <w:rPr>
                <w:rFonts w:hint="eastAsia" w:ascii="宋体" w:hAnsi="宋体" w:cs="宋体"/>
                <w:color w:val="auto"/>
                <w:kern w:val="0"/>
                <w:szCs w:val="21"/>
                <w:highlight w:val="none"/>
              </w:rPr>
              <w:t>□自行验收        □委托验收</w:t>
            </w:r>
          </w:p>
        </w:tc>
      </w:tr>
      <w:tr>
        <w:tblPrEx>
          <w:tblCellMar>
            <w:top w:w="0" w:type="dxa"/>
            <w:left w:w="0" w:type="dxa"/>
            <w:bottom w:w="0" w:type="dxa"/>
            <w:right w:w="0" w:type="dxa"/>
          </w:tblCellMar>
        </w:tblPrEx>
        <w:trPr>
          <w:trHeight w:val="622" w:hRule="atLeast"/>
          <w:jc w:val="center"/>
        </w:trPr>
        <w:tc>
          <w:tcPr>
            <w:tcW w:w="1037" w:type="dxa"/>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24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2163"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名 称</w:t>
            </w:r>
          </w:p>
        </w:tc>
        <w:tc>
          <w:tcPr>
            <w:tcW w:w="3539"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货物型号规格、标准及配置等（或服务内容、标准）</w:t>
            </w:r>
          </w:p>
        </w:tc>
        <w:tc>
          <w:tcPr>
            <w:tcW w:w="1062"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1656"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金 额</w:t>
            </w:r>
          </w:p>
        </w:tc>
      </w:tr>
      <w:tr>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240" w:lineRule="atLeast"/>
              <w:ind w:firstLine="5"/>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0" w:type="dxa"/>
            <w:bottom w:w="0" w:type="dxa"/>
            <w:right w:w="0" w:type="dxa"/>
          </w:tblCellMar>
        </w:tblPrEx>
        <w:trPr>
          <w:trHeight w:val="487" w:hRule="atLeast"/>
          <w:jc w:val="center"/>
        </w:trPr>
        <w:tc>
          <w:tcPr>
            <w:tcW w:w="6739" w:type="dxa"/>
            <w:gridSpan w:val="4"/>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24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合       计</w:t>
            </w:r>
          </w:p>
        </w:tc>
        <w:tc>
          <w:tcPr>
            <w:tcW w:w="1062"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0" w:type="dxa"/>
            <w:bottom w:w="0" w:type="dxa"/>
            <w:right w:w="0" w:type="dxa"/>
          </w:tblCellMar>
        </w:tblPrEx>
        <w:trPr>
          <w:trHeight w:val="641" w:hRule="atLeast"/>
          <w:jc w:val="center"/>
        </w:trPr>
        <w:tc>
          <w:tcPr>
            <w:tcW w:w="9457" w:type="dxa"/>
            <w:gridSpan w:val="7"/>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240" w:lineRule="atLeast"/>
              <w:ind w:firstLine="2"/>
              <w:jc w:val="left"/>
              <w:rPr>
                <w:rFonts w:ascii="宋体" w:hAnsi="宋体" w:cs="宋体"/>
                <w:color w:val="auto"/>
                <w:kern w:val="0"/>
                <w:szCs w:val="21"/>
                <w:highlight w:val="none"/>
              </w:rPr>
            </w:pPr>
            <w:r>
              <w:rPr>
                <w:rFonts w:hint="eastAsia" w:ascii="宋体" w:hAnsi="宋体" w:cs="宋体"/>
                <w:color w:val="auto"/>
                <w:kern w:val="0"/>
                <w:szCs w:val="21"/>
                <w:highlight w:val="none"/>
              </w:rPr>
              <w:t>合计大写金额：  仟   佰   拾   万   仟   佰   拾   元</w:t>
            </w:r>
          </w:p>
        </w:tc>
      </w:tr>
      <w:tr>
        <w:tblPrEx>
          <w:tblCellMar>
            <w:top w:w="0" w:type="dxa"/>
            <w:left w:w="0" w:type="dxa"/>
            <w:bottom w:w="0" w:type="dxa"/>
            <w:right w:w="0" w:type="dxa"/>
          </w:tblCellMar>
        </w:tblPrEx>
        <w:trPr>
          <w:trHeight w:val="641" w:hRule="atLeast"/>
          <w:jc w:val="center"/>
        </w:trPr>
        <w:tc>
          <w:tcPr>
            <w:tcW w:w="1037" w:type="dxa"/>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240" w:lineRule="atLeast"/>
              <w:ind w:firstLine="2"/>
              <w:jc w:val="left"/>
              <w:rPr>
                <w:rFonts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3054"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867"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6"/>
              <w:jc w:val="center"/>
              <w:rPr>
                <w:rFonts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499"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0" w:type="dxa"/>
            <w:bottom w:w="0" w:type="dxa"/>
            <w:right w:w="0" w:type="dxa"/>
          </w:tblCellMar>
        </w:tblPrEx>
        <w:trPr>
          <w:trHeight w:val="394" w:hRule="atLeast"/>
          <w:jc w:val="center"/>
        </w:trPr>
        <w:tc>
          <w:tcPr>
            <w:tcW w:w="1037" w:type="dxa"/>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054"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867"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499"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0" w:type="dxa"/>
            <w:bottom w:w="0" w:type="dxa"/>
            <w:right w:w="0" w:type="dxa"/>
          </w:tblCellMar>
        </w:tblPrEx>
        <w:trPr>
          <w:trHeight w:val="693" w:hRule="atLeast"/>
          <w:jc w:val="center"/>
        </w:trPr>
        <w:tc>
          <w:tcPr>
            <w:tcW w:w="103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before="100" w:beforeAutospacing="1" w:after="100" w:afterAutospacing="1" w:line="2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8420" w:type="dxa"/>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before="100" w:beforeAutospacing="1" w:after="100" w:afterAutospacing="1" w:line="2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tblPrEx>
          <w:tblCellMar>
            <w:top w:w="0" w:type="dxa"/>
            <w:left w:w="0" w:type="dxa"/>
            <w:bottom w:w="0" w:type="dxa"/>
            <w:right w:w="0" w:type="dxa"/>
          </w:tblCellMar>
        </w:tblPrEx>
        <w:trPr>
          <w:trHeight w:val="1281" w:hRule="atLeast"/>
          <w:jc w:val="center"/>
        </w:trPr>
        <w:tc>
          <w:tcPr>
            <w:tcW w:w="103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2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8420" w:type="dxa"/>
            <w:gridSpan w:val="6"/>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 验收结论性意见：</w:t>
            </w:r>
          </w:p>
          <w:p>
            <w:pPr>
              <w:widowControl/>
              <w:spacing w:before="100" w:beforeAutospacing="1" w:after="100" w:afterAutospacing="1" w:line="2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0" w:type="dxa"/>
            <w:bottom w:w="0" w:type="dxa"/>
            <w:right w:w="0" w:type="dxa"/>
          </w:tblCellMar>
        </w:tblPrEx>
        <w:trPr>
          <w:trHeight w:val="607" w:hRule="atLeast"/>
          <w:jc w:val="center"/>
        </w:trPr>
        <w:tc>
          <w:tcPr>
            <w:tcW w:w="1037" w:type="dxa"/>
            <w:vMerge w:val="continue"/>
            <w:tcBorders>
              <w:top w:val="nil"/>
              <w:left w:val="single" w:color="auto" w:sz="8" w:space="0"/>
              <w:bottom w:val="single" w:color="auto" w:sz="8" w:space="0"/>
              <w:right w:val="single" w:color="auto" w:sz="8" w:space="0"/>
            </w:tcBorders>
            <w:vAlign w:val="center"/>
          </w:tcPr>
          <w:p>
            <w:pPr>
              <w:widowControl/>
              <w:spacing w:line="240" w:lineRule="atLeast"/>
              <w:jc w:val="left"/>
              <w:rPr>
                <w:rFonts w:ascii="宋体" w:hAnsi="宋体" w:cs="宋体"/>
                <w:color w:val="auto"/>
                <w:kern w:val="0"/>
                <w:szCs w:val="21"/>
                <w:highlight w:val="none"/>
              </w:rPr>
            </w:pPr>
          </w:p>
        </w:tc>
        <w:tc>
          <w:tcPr>
            <w:tcW w:w="8420" w:type="dxa"/>
            <w:gridSpan w:val="6"/>
            <w:tcBorders>
              <w:top w:val="nil"/>
              <w:left w:val="nil"/>
              <w:bottom w:val="single" w:color="auto" w:sz="8" w:space="0"/>
              <w:right w:val="single" w:color="auto" w:sz="8" w:space="0"/>
            </w:tcBorders>
            <w:vAlign w:val="center"/>
          </w:tcPr>
          <w:p>
            <w:pPr>
              <w:widowControl/>
              <w:spacing w:before="100" w:beforeAutospacing="1" w:after="100" w:afterAutospacing="1" w:line="240" w:lineRule="atLeast"/>
              <w:ind w:firstLine="96"/>
              <w:jc w:val="left"/>
              <w:rPr>
                <w:rFonts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pPr>
              <w:widowControl/>
              <w:spacing w:before="100" w:beforeAutospacing="1" w:after="100" w:afterAutospacing="1" w:line="2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                                      签字：</w:t>
            </w:r>
          </w:p>
        </w:tc>
      </w:tr>
      <w:tr>
        <w:tblPrEx>
          <w:tblCellMar>
            <w:top w:w="0" w:type="dxa"/>
            <w:left w:w="0" w:type="dxa"/>
            <w:bottom w:w="0" w:type="dxa"/>
            <w:right w:w="0" w:type="dxa"/>
          </w:tblCellMar>
        </w:tblPrEx>
        <w:trPr>
          <w:trHeight w:val="507" w:hRule="atLeast"/>
          <w:jc w:val="center"/>
        </w:trPr>
        <w:tc>
          <w:tcPr>
            <w:tcW w:w="9457"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2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tblPrEx>
          <w:tblCellMar>
            <w:top w:w="0" w:type="dxa"/>
            <w:left w:w="0" w:type="dxa"/>
            <w:bottom w:w="0" w:type="dxa"/>
            <w:right w:w="0" w:type="dxa"/>
          </w:tblCellMar>
        </w:tblPrEx>
        <w:trPr>
          <w:trHeight w:val="736" w:hRule="atLeast"/>
          <w:jc w:val="center"/>
        </w:trPr>
        <w:tc>
          <w:tcPr>
            <w:tcW w:w="9457" w:type="dxa"/>
            <w:gridSpan w:val="7"/>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widowControl/>
              <w:spacing w:before="100" w:beforeAutospacing="1" w:after="100" w:afterAutospacing="1" w:line="2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监督人员或其他相关人员签字：</w:t>
            </w:r>
          </w:p>
          <w:p>
            <w:pPr>
              <w:widowControl/>
              <w:spacing w:before="100" w:beforeAutospacing="1" w:after="100" w:afterAutospacing="1" w:line="240" w:lineRule="atLeast"/>
              <w:ind w:firstLine="74"/>
              <w:jc w:val="left"/>
              <w:rPr>
                <w:rFonts w:ascii="宋体" w:hAnsi="宋体" w:cs="宋体"/>
                <w:color w:val="auto"/>
                <w:kern w:val="0"/>
                <w:szCs w:val="21"/>
                <w:highlight w:val="none"/>
              </w:rPr>
            </w:pPr>
            <w:r>
              <w:rPr>
                <w:rFonts w:hint="eastAsia" w:ascii="宋体" w:hAnsi="宋体" w:cs="宋体"/>
                <w:color w:val="auto"/>
                <w:kern w:val="0"/>
                <w:szCs w:val="21"/>
                <w:highlight w:val="none"/>
              </w:rPr>
              <w:t>或受邀机构的意见（盖章）：</w:t>
            </w:r>
          </w:p>
        </w:tc>
      </w:tr>
      <w:tr>
        <w:tblPrEx>
          <w:tblCellMar>
            <w:top w:w="0" w:type="dxa"/>
            <w:left w:w="0" w:type="dxa"/>
            <w:bottom w:w="0" w:type="dxa"/>
            <w:right w:w="0" w:type="dxa"/>
          </w:tblCellMar>
        </w:tblPrEx>
        <w:trPr>
          <w:trHeight w:val="1485" w:hRule="atLeast"/>
          <w:jc w:val="center"/>
        </w:trPr>
        <w:tc>
          <w:tcPr>
            <w:tcW w:w="4091"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before="100" w:beforeAutospacing="1" w:after="100" w:afterAutospacing="1" w:line="2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中标或者成交供应商负责人签字或盖章：</w:t>
            </w:r>
          </w:p>
          <w:p>
            <w:pPr>
              <w:widowControl/>
              <w:spacing w:before="100" w:beforeAutospacing="1" w:after="100" w:afterAutospacing="1" w:line="2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5366" w:type="dxa"/>
            <w:gridSpan w:val="4"/>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采购人或受托机构的意见（盖章）：</w:t>
            </w:r>
          </w:p>
          <w:p>
            <w:pPr>
              <w:widowControl/>
              <w:spacing w:before="100" w:beforeAutospacing="1" w:after="100" w:afterAutospacing="1" w:line="2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r>
    </w:tbl>
    <w:p>
      <w:pPr>
        <w:pStyle w:val="23"/>
        <w:snapToGrid w:val="0"/>
        <w:spacing w:line="440" w:lineRule="exact"/>
        <w:rPr>
          <w:rFonts w:hAnsi="宋体" w:cs="宋体"/>
          <w:color w:val="auto"/>
          <w:highlight w:val="none"/>
        </w:rPr>
      </w:pPr>
    </w:p>
    <w:p>
      <w:pPr>
        <w:pStyle w:val="23"/>
        <w:snapToGrid w:val="0"/>
        <w:spacing w:line="440" w:lineRule="exact"/>
        <w:rPr>
          <w:rFonts w:hAnsi="宋体" w:cs="宋体"/>
          <w:color w:val="auto"/>
          <w:highlight w:val="none"/>
        </w:rPr>
      </w:pPr>
    </w:p>
    <w:p>
      <w:pPr>
        <w:pStyle w:val="23"/>
        <w:snapToGrid w:val="0"/>
        <w:spacing w:line="440" w:lineRule="exact"/>
        <w:rPr>
          <w:rFonts w:hAnsi="宋体" w:cs="宋体"/>
          <w:color w:val="auto"/>
          <w:highlight w:val="none"/>
        </w:rPr>
      </w:pPr>
    </w:p>
    <w:p>
      <w:pPr>
        <w:pStyle w:val="4"/>
        <w:spacing w:line="440" w:lineRule="exact"/>
        <w:jc w:val="center"/>
        <w:rPr>
          <w:rFonts w:ascii="宋体" w:hAnsi="宋体" w:cs="宋体"/>
          <w:color w:val="auto"/>
          <w:sz w:val="32"/>
          <w:szCs w:val="32"/>
          <w:highlight w:val="none"/>
        </w:rPr>
      </w:pPr>
      <w:bookmarkStart w:id="27" w:name="_Toc88747293"/>
      <w:r>
        <w:rPr>
          <w:rFonts w:hint="eastAsia" w:ascii="宋体" w:hAnsi="宋体" w:cs="宋体"/>
          <w:color w:val="auto"/>
          <w:sz w:val="32"/>
          <w:szCs w:val="32"/>
          <w:highlight w:val="none"/>
        </w:rPr>
        <w:t>第三章 项目采购需求</w:t>
      </w:r>
      <w:bookmarkEnd w:id="27"/>
    </w:p>
    <w:p>
      <w:pPr>
        <w:widowControl/>
        <w:spacing w:line="440" w:lineRule="exact"/>
        <w:outlineLvl w:val="0"/>
        <w:rPr>
          <w:rFonts w:ascii="宋体" w:hAnsi="宋体" w:cs="宋体"/>
          <w:color w:val="auto"/>
          <w:highlight w:val="none"/>
        </w:rPr>
      </w:pPr>
      <w:r>
        <w:rPr>
          <w:rFonts w:hint="eastAsia" w:ascii="宋体" w:hAnsi="宋体" w:cs="宋体"/>
          <w:b/>
          <w:color w:val="auto"/>
          <w:szCs w:val="21"/>
          <w:highlight w:val="none"/>
        </w:rPr>
        <w:t>说明：</w:t>
      </w:r>
      <w:r>
        <w:rPr>
          <w:rFonts w:hint="eastAsia" w:ascii="宋体" w:hAnsi="宋体" w:cs="宋体"/>
          <w:b/>
          <w:color w:val="auto"/>
          <w:szCs w:val="21"/>
          <w:highlight w:val="none"/>
        </w:rPr>
        <w:br w:type="textWrapping"/>
      </w:r>
      <w:r>
        <w:rPr>
          <w:rFonts w:hint="eastAsia" w:ascii="宋体" w:hAnsi="宋体" w:cs="宋体"/>
          <w:b/>
          <w:color w:val="auto"/>
          <w:highlight w:val="none"/>
        </w:rPr>
        <w:t>▲一、</w:t>
      </w:r>
      <w:r>
        <w:rPr>
          <w:rFonts w:hint="eastAsia" w:ascii="宋体" w:hAnsi="宋体" w:cs="宋体"/>
          <w:color w:val="auto"/>
          <w:highlight w:val="none"/>
        </w:rPr>
        <w:t>本需求表中标注“▲”的条款均为实质性要求或条件，供应商必须作出满足或者优于该要求和条件的承诺（另有要求的除外），否则投标无效。未标注“▲”的</w:t>
      </w:r>
      <w:bookmarkStart w:id="28" w:name="OLE_LINK2"/>
      <w:r>
        <w:rPr>
          <w:rFonts w:hint="eastAsia" w:ascii="宋体" w:hAnsi="宋体" w:cs="宋体"/>
          <w:color w:val="auto"/>
          <w:highlight w:val="none"/>
        </w:rPr>
        <w:t>条款发生负偏离或不响应</w:t>
      </w:r>
      <w:bookmarkEnd w:id="28"/>
      <w:r>
        <w:rPr>
          <w:rFonts w:hint="eastAsia" w:ascii="宋体" w:hAnsi="宋体" w:cs="宋体"/>
          <w:color w:val="auto"/>
          <w:highlight w:val="none"/>
        </w:rPr>
        <w:t>达</w:t>
      </w:r>
      <w:r>
        <w:rPr>
          <w:rFonts w:hint="eastAsia" w:ascii="宋体" w:hAnsi="宋体" w:cs="宋体"/>
          <w:color w:val="auto"/>
          <w:highlight w:val="none"/>
          <w:lang w:val="en-US" w:eastAsia="zh-CN"/>
        </w:rPr>
        <w:t xml:space="preserve"> </w:t>
      </w:r>
      <w:r>
        <w:rPr>
          <w:rFonts w:hint="eastAsia" w:ascii="宋体" w:hAnsi="宋体" w:cs="宋体"/>
          <w:color w:val="auto"/>
          <w:highlight w:val="none"/>
          <w:u w:val="single"/>
          <w:lang w:val="en-US" w:eastAsia="zh-CN"/>
        </w:rPr>
        <w:t>3</w:t>
      </w:r>
      <w:r>
        <w:rPr>
          <w:rFonts w:hint="eastAsia" w:ascii="宋体" w:hAnsi="宋体" w:cs="宋体"/>
          <w:color w:val="auto"/>
          <w:highlight w:val="none"/>
          <w:u w:val="single"/>
        </w:rPr>
        <w:t xml:space="preserve"> </w:t>
      </w:r>
      <w:r>
        <w:rPr>
          <w:rFonts w:hint="eastAsia" w:ascii="宋体" w:hAnsi="宋体" w:cs="宋体"/>
          <w:color w:val="auto"/>
          <w:highlight w:val="none"/>
        </w:rPr>
        <w:t>项（含）以上的，</w:t>
      </w:r>
      <w:r>
        <w:rPr>
          <w:rFonts w:hint="eastAsia" w:ascii="宋体" w:hAnsi="宋体" w:cs="宋体"/>
          <w:b/>
          <w:bCs/>
          <w:color w:val="auto"/>
          <w:szCs w:val="21"/>
          <w:highlight w:val="none"/>
        </w:rPr>
        <w:t>响应文件按无效处理</w:t>
      </w:r>
      <w:r>
        <w:rPr>
          <w:rFonts w:hint="eastAsia" w:ascii="宋体" w:hAnsi="宋体" w:cs="宋体"/>
          <w:color w:val="auto"/>
          <w:highlight w:val="none"/>
        </w:rPr>
        <w:t>。</w:t>
      </w:r>
    </w:p>
    <w:p>
      <w:pPr>
        <w:spacing w:line="440" w:lineRule="exact"/>
        <w:rPr>
          <w:rFonts w:ascii="宋体" w:hAnsi="宋体" w:cs="宋体"/>
          <w:b/>
          <w:color w:val="auto"/>
          <w:szCs w:val="21"/>
          <w:highlight w:val="none"/>
        </w:rPr>
      </w:pPr>
      <w:r>
        <w:rPr>
          <w:rFonts w:hint="eastAsia" w:ascii="宋体" w:hAnsi="宋体" w:cs="宋体"/>
          <w:b/>
          <w:color w:val="auto"/>
          <w:highlight w:val="none"/>
        </w:rPr>
        <w:t>▲二、</w:t>
      </w:r>
      <w:r>
        <w:rPr>
          <w:rFonts w:hint="eastAsia" w:ascii="宋体" w:hAnsi="宋体" w:cs="宋体"/>
          <w:color w:val="auto"/>
          <w:szCs w:val="21"/>
          <w:highlight w:val="none"/>
        </w:rPr>
        <w:t>服务项目中包含货物的，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有效期内的节能产品认证证书复印件（加盖供应商公章），</w:t>
      </w:r>
      <w:r>
        <w:rPr>
          <w:rFonts w:hint="eastAsia" w:ascii="宋体" w:hAnsi="宋体" w:cs="宋体"/>
          <w:b/>
          <w:bCs/>
          <w:color w:val="auto"/>
          <w:szCs w:val="21"/>
          <w:highlight w:val="none"/>
        </w:rPr>
        <w:t>否则响应文件按无效处理</w:t>
      </w:r>
      <w:r>
        <w:rPr>
          <w:rFonts w:hint="eastAsia" w:ascii="宋体" w:hAnsi="宋体" w:cs="宋体"/>
          <w:color w:val="auto"/>
          <w:szCs w:val="21"/>
          <w:highlight w:val="none"/>
        </w:rPr>
        <w:t>。如本项目包含的配套货物属于品目清单内非标注“★”的产品时，应优先采购，具体详见“第四章评审程序、评审方法和评审标准”。</w:t>
      </w:r>
    </w:p>
    <w:p>
      <w:pPr>
        <w:spacing w:line="440" w:lineRule="exact"/>
        <w:rPr>
          <w:rFonts w:ascii="宋体" w:hAnsi="宋体" w:cs="宋体"/>
          <w:color w:val="auto"/>
          <w:highlight w:val="none"/>
        </w:rPr>
      </w:pPr>
      <w:r>
        <w:rPr>
          <w:rFonts w:hint="eastAsia" w:ascii="宋体" w:hAnsi="宋体" w:cs="宋体"/>
          <w:color w:val="auto"/>
          <w:highlight w:val="none"/>
        </w:rPr>
        <w:t>▲三、服务项目中包含货物的，根据《关于调整网络安全专用产品安全管理有关事项的公告》（2023年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如属于《网络关键设备和网络安全专用产品目录》中“二、网络安全专用产品”内“产品类别”中的所描述的产品，但不属于所列“产品描述”情形的，应提供相应的说明及证明材料。</w:t>
      </w:r>
    </w:p>
    <w:p>
      <w:pPr>
        <w:widowControl/>
        <w:spacing w:line="440" w:lineRule="exact"/>
        <w:jc w:val="left"/>
        <w:rPr>
          <w:rFonts w:ascii="宋体" w:hAnsi="宋体" w:cs="宋体"/>
          <w:color w:val="auto"/>
          <w:kern w:val="0"/>
          <w:sz w:val="24"/>
          <w:highlight w:val="none"/>
        </w:rPr>
      </w:pPr>
    </w:p>
    <w:p>
      <w:pPr>
        <w:widowControl/>
        <w:spacing w:line="440" w:lineRule="exact"/>
        <w:jc w:val="left"/>
        <w:rPr>
          <w:rFonts w:ascii="宋体" w:hAnsi="宋体" w:cs="宋体"/>
          <w:color w:val="auto"/>
          <w:kern w:val="0"/>
          <w:sz w:val="24"/>
          <w:highlight w:val="none"/>
        </w:rPr>
      </w:pPr>
    </w:p>
    <w:p>
      <w:pPr>
        <w:rPr>
          <w:rFonts w:ascii="宋体" w:hAnsi="宋体" w:cs="宋体"/>
          <w:color w:val="auto"/>
          <w:highlight w:val="none"/>
        </w:rPr>
      </w:pPr>
      <w:r>
        <w:rPr>
          <w:rFonts w:hint="eastAsia" w:ascii="宋体" w:hAnsi="宋体" w:cs="宋体"/>
          <w:color w:val="auto"/>
          <w:kern w:val="0"/>
          <w:sz w:val="24"/>
          <w:highlight w:val="none"/>
        </w:rPr>
        <w:br w:type="page"/>
      </w:r>
    </w:p>
    <w:p>
      <w:pPr>
        <w:pStyle w:val="5"/>
        <w:spacing w:before="0" w:after="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标项一</w:t>
      </w:r>
    </w:p>
    <w:tbl>
      <w:tblPr>
        <w:tblStyle w:val="41"/>
        <w:tblW w:w="105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355"/>
        <w:gridCol w:w="90"/>
        <w:gridCol w:w="906"/>
        <w:gridCol w:w="762"/>
        <w:gridCol w:w="6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7" w:hRule="atLeast"/>
          <w:jc w:val="center"/>
        </w:trPr>
        <w:tc>
          <w:tcPr>
            <w:tcW w:w="655" w:type="dxa"/>
            <w:vAlign w:val="center"/>
          </w:tcPr>
          <w:p>
            <w:pPr>
              <w:tabs>
                <w:tab w:val="left" w:pos="180"/>
                <w:tab w:val="left" w:pos="1620"/>
              </w:tabs>
              <w:spacing w:line="32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355" w:type="dxa"/>
            <w:vAlign w:val="center"/>
          </w:tcPr>
          <w:p>
            <w:pPr>
              <w:tabs>
                <w:tab w:val="left" w:pos="180"/>
                <w:tab w:val="left" w:pos="1620"/>
              </w:tabs>
              <w:jc w:val="center"/>
              <w:rPr>
                <w:rFonts w:ascii="宋体" w:hAnsi="宋体" w:cs="宋体"/>
                <w:b/>
                <w:bCs/>
                <w:color w:val="auto"/>
                <w:szCs w:val="21"/>
                <w:highlight w:val="none"/>
              </w:rPr>
            </w:pPr>
            <w:r>
              <w:rPr>
                <w:rFonts w:hint="eastAsia" w:ascii="宋体" w:hAnsi="宋体" w:cs="宋体"/>
                <w:b/>
                <w:bCs/>
                <w:color w:val="auto"/>
                <w:szCs w:val="21"/>
                <w:highlight w:val="none"/>
              </w:rPr>
              <w:t>标的名称</w:t>
            </w:r>
          </w:p>
        </w:tc>
        <w:tc>
          <w:tcPr>
            <w:tcW w:w="996" w:type="dxa"/>
            <w:gridSpan w:val="2"/>
            <w:vAlign w:val="center"/>
          </w:tcPr>
          <w:p>
            <w:pPr>
              <w:tabs>
                <w:tab w:val="left" w:pos="180"/>
                <w:tab w:val="left" w:pos="1620"/>
              </w:tabs>
              <w:spacing w:line="320" w:lineRule="exact"/>
              <w:jc w:val="center"/>
              <w:rPr>
                <w:rFonts w:ascii="宋体" w:hAnsi="宋体" w:cs="宋体"/>
                <w:b/>
                <w:bCs/>
                <w:color w:val="auto"/>
                <w:szCs w:val="21"/>
                <w:highlight w:val="none"/>
              </w:rPr>
            </w:pPr>
            <w:r>
              <w:rPr>
                <w:rFonts w:hint="eastAsia" w:ascii="宋体" w:hAnsi="宋体" w:cs="宋体"/>
                <w:b/>
                <w:bCs/>
                <w:color w:val="auto"/>
                <w:szCs w:val="21"/>
                <w:highlight w:val="none"/>
              </w:rPr>
              <w:t>数量及单位</w:t>
            </w:r>
          </w:p>
        </w:tc>
        <w:tc>
          <w:tcPr>
            <w:tcW w:w="762" w:type="dxa"/>
            <w:vAlign w:val="center"/>
          </w:tcPr>
          <w:p>
            <w:pPr>
              <w:tabs>
                <w:tab w:val="left" w:pos="180"/>
                <w:tab w:val="left" w:pos="1620"/>
              </w:tabs>
              <w:spacing w:line="320" w:lineRule="exact"/>
              <w:jc w:val="center"/>
              <w:rPr>
                <w:rFonts w:ascii="宋体" w:hAnsi="宋体" w:cs="宋体"/>
                <w:b/>
                <w:bCs/>
                <w:color w:val="auto"/>
                <w:szCs w:val="21"/>
                <w:highlight w:val="none"/>
              </w:rPr>
            </w:pPr>
            <w:r>
              <w:rPr>
                <w:rFonts w:hint="eastAsia" w:ascii="宋体" w:hAnsi="宋体" w:cs="宋体"/>
                <w:b/>
                <w:bCs/>
                <w:color w:val="auto"/>
                <w:szCs w:val="21"/>
                <w:highlight w:val="none"/>
              </w:rPr>
              <w:t>所属</w:t>
            </w:r>
          </w:p>
          <w:p>
            <w:pPr>
              <w:tabs>
                <w:tab w:val="left" w:pos="180"/>
                <w:tab w:val="left" w:pos="1620"/>
              </w:tabs>
              <w:spacing w:line="320" w:lineRule="exact"/>
              <w:jc w:val="center"/>
              <w:rPr>
                <w:rFonts w:ascii="宋体" w:hAnsi="宋体" w:cs="宋体"/>
                <w:b/>
                <w:bCs/>
                <w:color w:val="auto"/>
                <w:szCs w:val="21"/>
                <w:highlight w:val="none"/>
              </w:rPr>
            </w:pPr>
            <w:r>
              <w:rPr>
                <w:rFonts w:hint="eastAsia" w:ascii="宋体" w:hAnsi="宋体" w:cs="宋体"/>
                <w:b/>
                <w:bCs/>
                <w:color w:val="auto"/>
                <w:szCs w:val="21"/>
                <w:highlight w:val="none"/>
              </w:rPr>
              <w:t>行业</w:t>
            </w:r>
          </w:p>
        </w:tc>
        <w:tc>
          <w:tcPr>
            <w:tcW w:w="6828" w:type="dxa"/>
            <w:vAlign w:val="center"/>
          </w:tcPr>
          <w:p>
            <w:pPr>
              <w:tabs>
                <w:tab w:val="left" w:pos="180"/>
                <w:tab w:val="left" w:pos="1620"/>
              </w:tabs>
              <w:spacing w:line="320" w:lineRule="exact"/>
              <w:jc w:val="center"/>
              <w:rPr>
                <w:rFonts w:ascii="宋体" w:hAnsi="宋体" w:cs="宋体"/>
                <w:b/>
                <w:bCs/>
                <w:color w:val="auto"/>
                <w:szCs w:val="21"/>
                <w:highlight w:val="none"/>
              </w:rPr>
            </w:pPr>
            <w:r>
              <w:rPr>
                <w:rFonts w:hint="eastAsia" w:ascii="宋体" w:hAnsi="宋体" w:cs="宋体"/>
                <w:b/>
                <w:bCs/>
                <w:color w:val="auto"/>
                <w:szCs w:val="21"/>
                <w:highlight w:val="none"/>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655" w:type="dxa"/>
            <w:vAlign w:val="center"/>
          </w:tcPr>
          <w:p>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355" w:type="dxa"/>
            <w:vAlign w:val="center"/>
          </w:tcPr>
          <w:p>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广西农药数字监管平台运维服务</w:t>
            </w:r>
          </w:p>
        </w:tc>
        <w:tc>
          <w:tcPr>
            <w:tcW w:w="996" w:type="dxa"/>
            <w:gridSpan w:val="2"/>
            <w:vAlign w:val="center"/>
          </w:tcPr>
          <w:p>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762" w:type="dxa"/>
            <w:vAlign w:val="center"/>
          </w:tcPr>
          <w:p>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软件和信息技术服务业</w:t>
            </w:r>
          </w:p>
        </w:tc>
        <w:tc>
          <w:tcPr>
            <w:tcW w:w="6828" w:type="dxa"/>
            <w:vAlign w:val="center"/>
          </w:tcPr>
          <w:p>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提供维护服务，建设运行维护管理体系、制度规范，并明确服务对象、服务内容，保证广西农药数字监管平台的正常运营。</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（一）广西农药数字监管平台软件系统运维服务</w:t>
            </w:r>
          </w:p>
          <w:p>
            <w:pPr>
              <w:spacing w:line="44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包括日常</w:t>
            </w:r>
            <w:r>
              <w:rPr>
                <w:rFonts w:hint="eastAsia" w:ascii="宋体" w:hAnsi="宋体" w:eastAsia="宋体" w:cs="宋体"/>
                <w:color w:val="auto"/>
                <w:szCs w:val="21"/>
                <w:highlight w:val="none"/>
                <w:lang w:eastAsia="zh-CN"/>
              </w:rPr>
              <w:t>工作</w:t>
            </w:r>
            <w:r>
              <w:rPr>
                <w:rFonts w:hint="eastAsia" w:ascii="宋体" w:hAnsi="宋体" w:eastAsia="宋体" w:cs="宋体"/>
                <w:color w:val="auto"/>
                <w:szCs w:val="21"/>
                <w:highlight w:val="none"/>
              </w:rPr>
              <w:t>运维服务、系统故障处理</w:t>
            </w:r>
            <w:r>
              <w:rPr>
                <w:rFonts w:hint="eastAsia" w:ascii="宋体" w:hAnsi="宋体" w:eastAsia="宋体" w:cs="宋体"/>
                <w:color w:val="auto"/>
                <w:szCs w:val="21"/>
                <w:highlight w:val="none"/>
                <w:lang w:eastAsia="zh-CN"/>
              </w:rPr>
              <w:t>、服务器运行状况监控和管理、进行缺陷处理、环境变更处理、软件重新安装服务、数据检查、处理与加工服务、系统账号服务</w:t>
            </w:r>
            <w:r>
              <w:rPr>
                <w:rFonts w:hint="eastAsia" w:ascii="宋体" w:hAnsi="宋体" w:eastAsia="宋体" w:cs="宋体"/>
                <w:color w:val="auto"/>
                <w:szCs w:val="21"/>
                <w:highlight w:val="none"/>
              </w:rPr>
              <w:t>等。</w:t>
            </w:r>
            <w:r>
              <w:rPr>
                <w:rFonts w:hint="eastAsia" w:ascii="宋体" w:hAnsi="宋体" w:eastAsia="宋体" w:cs="宋体"/>
                <w:b/>
                <w:bCs/>
                <w:color w:val="auto"/>
                <w:szCs w:val="21"/>
                <w:highlight w:val="none"/>
              </w:rPr>
              <w:t>具体需求：广西农药进销存台账软件在合同服务期间开放新用户免费注册，并对新用户进销存台账数据进行维护。</w:t>
            </w:r>
          </w:p>
          <w:p>
            <w:pPr>
              <w:spacing w:line="440" w:lineRule="exact"/>
              <w:ind w:firstLine="422" w:firstLineChars="200"/>
              <w:rPr>
                <w:rFonts w:hint="default" w:ascii="Times New Roman" w:hAnsi="Times New Roman" w:eastAsia="宋体" w:cs="Times New Roman"/>
                <w:b w:val="0"/>
                <w:bCs w:val="0"/>
                <w:color w:val="auto"/>
                <w:szCs w:val="21"/>
                <w:highlight w:val="none"/>
                <w:lang w:eastAsia="zh-CN"/>
              </w:rPr>
            </w:pPr>
            <w:r>
              <w:rPr>
                <w:rFonts w:hint="default" w:ascii="Times New Roman" w:hAnsi="Times New Roman" w:eastAsia="宋体" w:cs="Times New Roman"/>
                <w:b/>
                <w:bCs/>
                <w:color w:val="auto"/>
                <w:szCs w:val="21"/>
                <w:highlight w:val="none"/>
                <w:lang w:val="en-US" w:eastAsia="zh-CN"/>
              </w:rPr>
              <w:t>1.</w:t>
            </w:r>
            <w:r>
              <w:rPr>
                <w:rFonts w:hint="default" w:ascii="Times New Roman" w:hAnsi="Times New Roman" w:eastAsia="宋体" w:cs="Times New Roman"/>
                <w:b/>
                <w:bCs/>
                <w:color w:val="auto"/>
                <w:szCs w:val="21"/>
                <w:highlight w:val="none"/>
              </w:rPr>
              <w:t>系统故障处理</w:t>
            </w:r>
            <w:r>
              <w:rPr>
                <w:rFonts w:hint="default" w:ascii="Times New Roman" w:hAnsi="Times New Roman" w:eastAsia="宋体" w:cs="Times New Roman"/>
                <w:b/>
                <w:bCs/>
                <w:color w:val="auto"/>
                <w:szCs w:val="21"/>
                <w:highlight w:val="none"/>
                <w:lang w:eastAsia="zh-CN"/>
              </w:rPr>
              <w:t>：</w:t>
            </w:r>
            <w:r>
              <w:rPr>
                <w:rFonts w:hint="default" w:ascii="Times New Roman" w:hAnsi="Times New Roman" w:eastAsia="宋体" w:cs="Times New Roman"/>
                <w:b w:val="0"/>
                <w:bCs w:val="0"/>
                <w:color w:val="auto"/>
                <w:szCs w:val="21"/>
                <w:highlight w:val="none"/>
                <w:lang w:eastAsia="zh-CN"/>
              </w:rPr>
              <w:t>对于系统运行过程的异常进行原因分析和故障排除，以恢复业务优先，及时对存在的缺陷进行处理。平台包含平台门户、农药登记试验单位数据填报系统、农药生产企业数据填报系统、广西农资进销存系统、数据上报接口服务等5子系统，涉及功能点约1000个。</w:t>
            </w:r>
          </w:p>
          <w:p>
            <w:pPr>
              <w:spacing w:line="440" w:lineRule="exact"/>
              <w:ind w:firstLine="422" w:firstLineChars="200"/>
              <w:rPr>
                <w:rFonts w:hint="eastAsia" w:ascii="Times New Roman" w:hAnsi="Times New Roman" w:eastAsia="宋体" w:cs="Times New Roman"/>
                <w:b w:val="0"/>
                <w:bCs w:val="0"/>
                <w:color w:val="auto"/>
                <w:szCs w:val="21"/>
                <w:highlight w:val="none"/>
                <w:lang w:val="en-US" w:eastAsia="zh-CN"/>
              </w:rPr>
            </w:pPr>
            <w:r>
              <w:rPr>
                <w:rFonts w:hint="eastAsia" w:ascii="Times New Roman" w:hAnsi="Times New Roman" w:eastAsia="宋体" w:cs="Times New Roman"/>
                <w:b/>
                <w:bCs/>
                <w:color w:val="auto"/>
                <w:szCs w:val="21"/>
                <w:highlight w:val="none"/>
                <w:lang w:val="en-US" w:eastAsia="zh-CN"/>
              </w:rPr>
              <w:t>2.服务器运行状况监控和管理。</w:t>
            </w:r>
            <w:r>
              <w:rPr>
                <w:rFonts w:hint="eastAsia" w:ascii="Times New Roman" w:hAnsi="Times New Roman" w:eastAsia="宋体" w:cs="Times New Roman"/>
                <w:b w:val="0"/>
                <w:bCs w:val="0"/>
                <w:color w:val="auto"/>
                <w:szCs w:val="21"/>
                <w:highlight w:val="none"/>
                <w:lang w:val="en-US" w:eastAsia="zh-CN"/>
              </w:rPr>
              <w:t>对网络设备、服务器设备、操作系统、应用系统运行状况进行监控和管理，保证系统正常使用。平台包含2台服务器、5个应用程序服务、3个数据库。运行状况监控和管理主要是对服务器软硬件及网络环境进行定期、不定期地监控与维护管理，包括：服务器操作系统运行状态监控（CPU负载率、内存占用率等）、服务器日志监控（主要包括操作系统日志、应用程序日志、安全日志）、相关服务运行状态监控（数据库服务、中间件服务等）、进程监控、漏洞修复管理、网络状态监控、硬件状态监控、信息系统软硬件运行故障处理记录、数据库运行状态。</w:t>
            </w:r>
          </w:p>
          <w:p>
            <w:pPr>
              <w:spacing w:line="440" w:lineRule="exact"/>
              <w:ind w:firstLine="422" w:firstLineChars="200"/>
              <w:rPr>
                <w:rFonts w:hint="eastAsia" w:ascii="Times New Roman" w:hAnsi="Times New Roman" w:eastAsia="宋体" w:cs="Times New Roman"/>
                <w:b w:val="0"/>
                <w:bCs w:val="0"/>
                <w:color w:val="auto"/>
                <w:szCs w:val="21"/>
                <w:highlight w:val="none"/>
                <w:lang w:val="en-US" w:eastAsia="zh-CN"/>
              </w:rPr>
            </w:pPr>
            <w:r>
              <w:rPr>
                <w:rFonts w:hint="eastAsia" w:ascii="Times New Roman" w:hAnsi="Times New Roman" w:eastAsia="宋体" w:cs="Times New Roman"/>
                <w:b/>
                <w:bCs/>
                <w:color w:val="auto"/>
                <w:szCs w:val="21"/>
                <w:highlight w:val="none"/>
                <w:lang w:val="en-US" w:eastAsia="zh-CN"/>
              </w:rPr>
              <w:t>3.进行缺陷处理。</w:t>
            </w:r>
            <w:r>
              <w:rPr>
                <w:rFonts w:hint="eastAsia" w:ascii="Times New Roman" w:hAnsi="Times New Roman" w:eastAsia="宋体" w:cs="Times New Roman"/>
                <w:b w:val="0"/>
                <w:bCs w:val="0"/>
                <w:color w:val="auto"/>
                <w:szCs w:val="21"/>
                <w:highlight w:val="none"/>
                <w:lang w:val="en-US" w:eastAsia="zh-CN"/>
              </w:rPr>
              <w:t>现有系统存在的问题，提供修复和避免措施的服务。</w:t>
            </w:r>
          </w:p>
          <w:p>
            <w:pPr>
              <w:spacing w:line="440" w:lineRule="exact"/>
              <w:ind w:firstLine="422" w:firstLineChars="200"/>
              <w:rPr>
                <w:rFonts w:hint="eastAsia" w:ascii="Times New Roman" w:hAnsi="Times New Roman" w:eastAsia="宋体" w:cs="Times New Roman"/>
                <w:b w:val="0"/>
                <w:bCs w:val="0"/>
                <w:color w:val="auto"/>
                <w:szCs w:val="21"/>
                <w:highlight w:val="none"/>
                <w:lang w:val="en-US" w:eastAsia="zh-CN"/>
              </w:rPr>
            </w:pPr>
            <w:r>
              <w:rPr>
                <w:rFonts w:hint="eastAsia" w:ascii="Times New Roman" w:hAnsi="Times New Roman" w:eastAsia="宋体" w:cs="Times New Roman"/>
                <w:b/>
                <w:bCs/>
                <w:color w:val="auto"/>
                <w:szCs w:val="21"/>
                <w:highlight w:val="none"/>
                <w:lang w:val="en-US" w:eastAsia="zh-CN"/>
              </w:rPr>
              <w:t>4.环境变更处理。</w:t>
            </w:r>
            <w:r>
              <w:rPr>
                <w:rFonts w:hint="eastAsia" w:ascii="Times New Roman" w:hAnsi="Times New Roman" w:eastAsia="宋体" w:cs="Times New Roman"/>
                <w:b w:val="0"/>
                <w:bCs w:val="0"/>
                <w:color w:val="auto"/>
                <w:szCs w:val="21"/>
                <w:highlight w:val="none"/>
                <w:lang w:val="en-US" w:eastAsia="zh-CN"/>
              </w:rPr>
              <w:t>提供系统环境变更服务，包括系统迁移。</w:t>
            </w:r>
          </w:p>
          <w:p>
            <w:pPr>
              <w:spacing w:line="440" w:lineRule="exact"/>
              <w:ind w:firstLine="422" w:firstLineChars="200"/>
              <w:rPr>
                <w:rFonts w:hint="eastAsia" w:ascii="Times New Roman" w:hAnsi="Times New Roman" w:eastAsia="宋体" w:cs="Times New Roman"/>
                <w:b w:val="0"/>
                <w:bCs w:val="0"/>
                <w:color w:val="auto"/>
                <w:szCs w:val="21"/>
                <w:highlight w:val="none"/>
                <w:lang w:val="en-US" w:eastAsia="zh-CN"/>
              </w:rPr>
            </w:pPr>
            <w:r>
              <w:rPr>
                <w:rFonts w:hint="eastAsia" w:ascii="Times New Roman" w:hAnsi="Times New Roman" w:eastAsia="宋体" w:cs="Times New Roman"/>
                <w:b/>
                <w:bCs/>
                <w:color w:val="auto"/>
                <w:szCs w:val="21"/>
                <w:highlight w:val="none"/>
                <w:lang w:val="en-US" w:eastAsia="zh-CN"/>
              </w:rPr>
              <w:t>5.软件重新安装服务。</w:t>
            </w:r>
            <w:r>
              <w:rPr>
                <w:rFonts w:hint="eastAsia" w:ascii="Times New Roman" w:hAnsi="Times New Roman" w:eastAsia="宋体" w:cs="Times New Roman"/>
                <w:b w:val="0"/>
                <w:bCs w:val="0"/>
                <w:color w:val="auto"/>
                <w:szCs w:val="21"/>
                <w:highlight w:val="none"/>
                <w:lang w:val="en-US" w:eastAsia="zh-CN"/>
              </w:rPr>
              <w:t>提供软件重装服务，实现软件的升级、适配。</w:t>
            </w:r>
          </w:p>
          <w:p>
            <w:pPr>
              <w:spacing w:line="440" w:lineRule="exact"/>
              <w:ind w:firstLine="422" w:firstLineChars="200"/>
              <w:rPr>
                <w:rFonts w:hint="eastAsia" w:ascii="Times New Roman" w:hAnsi="Times New Roman" w:eastAsia="宋体" w:cs="Times New Roman"/>
                <w:b w:val="0"/>
                <w:bCs w:val="0"/>
                <w:color w:val="auto"/>
                <w:szCs w:val="21"/>
                <w:highlight w:val="none"/>
                <w:lang w:val="en-US" w:eastAsia="zh-CN"/>
              </w:rPr>
            </w:pPr>
            <w:r>
              <w:rPr>
                <w:rFonts w:hint="eastAsia" w:ascii="Times New Roman" w:hAnsi="Times New Roman" w:eastAsia="宋体" w:cs="Times New Roman"/>
                <w:b/>
                <w:bCs/>
                <w:color w:val="auto"/>
                <w:szCs w:val="21"/>
                <w:highlight w:val="none"/>
                <w:lang w:val="en-US" w:eastAsia="zh-CN"/>
              </w:rPr>
              <w:t>6.提供数据检查与处理服务。</w:t>
            </w:r>
            <w:r>
              <w:rPr>
                <w:rFonts w:hint="eastAsia" w:ascii="Times New Roman" w:hAnsi="Times New Roman" w:eastAsia="宋体" w:cs="Times New Roman"/>
                <w:b w:val="0"/>
                <w:bCs w:val="0"/>
                <w:color w:val="auto"/>
                <w:szCs w:val="21"/>
                <w:highlight w:val="none"/>
                <w:lang w:val="en-US" w:eastAsia="zh-CN"/>
              </w:rPr>
              <w:t>对异常数据进行修正处理。</w:t>
            </w:r>
          </w:p>
          <w:p>
            <w:pPr>
              <w:spacing w:line="440" w:lineRule="exact"/>
              <w:ind w:firstLine="422" w:firstLineChars="200"/>
              <w:rPr>
                <w:rFonts w:hint="eastAsia" w:ascii="Times New Roman" w:hAnsi="Times New Roman" w:eastAsia="宋体" w:cs="Times New Roman"/>
                <w:b w:val="0"/>
                <w:bCs w:val="0"/>
                <w:color w:val="auto"/>
                <w:szCs w:val="21"/>
                <w:highlight w:val="none"/>
                <w:lang w:val="en-US" w:eastAsia="zh-CN"/>
              </w:rPr>
            </w:pPr>
            <w:r>
              <w:rPr>
                <w:rFonts w:hint="eastAsia" w:ascii="Times New Roman" w:hAnsi="Times New Roman" w:eastAsia="宋体" w:cs="Times New Roman"/>
                <w:b/>
                <w:bCs/>
                <w:color w:val="auto"/>
                <w:szCs w:val="21"/>
                <w:highlight w:val="none"/>
                <w:lang w:val="en-US" w:eastAsia="zh-CN"/>
              </w:rPr>
              <w:t>7.提供数据加工服务。</w:t>
            </w:r>
            <w:r>
              <w:rPr>
                <w:rFonts w:hint="eastAsia" w:ascii="Times New Roman" w:hAnsi="Times New Roman" w:eastAsia="宋体" w:cs="Times New Roman"/>
                <w:b w:val="0"/>
                <w:bCs w:val="0"/>
                <w:color w:val="auto"/>
                <w:szCs w:val="21"/>
                <w:highlight w:val="none"/>
                <w:lang w:val="en-US" w:eastAsia="zh-CN"/>
              </w:rPr>
              <w:t>根据用户需求对原有数据进行加工处理，增加计算指标，形成分析报告，实现数据的分析和导出。</w:t>
            </w:r>
          </w:p>
          <w:p>
            <w:pPr>
              <w:spacing w:line="440" w:lineRule="exact"/>
              <w:ind w:firstLine="422" w:firstLineChars="200"/>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b/>
                <w:bCs/>
                <w:color w:val="auto"/>
                <w:szCs w:val="21"/>
                <w:highlight w:val="none"/>
                <w:lang w:val="en-US" w:eastAsia="zh-CN"/>
              </w:rPr>
              <w:t>8.系统账号服务。</w:t>
            </w:r>
            <w:r>
              <w:rPr>
                <w:rFonts w:hint="eastAsia" w:ascii="Times New Roman" w:hAnsi="Times New Roman" w:eastAsia="宋体" w:cs="Times New Roman"/>
                <w:b w:val="0"/>
                <w:bCs w:val="0"/>
                <w:color w:val="auto"/>
                <w:szCs w:val="21"/>
                <w:highlight w:val="none"/>
                <w:lang w:val="en-US" w:eastAsia="zh-CN"/>
              </w:rPr>
              <w:t>提供账号处理快速响应服务，包括用户账号的新增、修改、密码重置等服务。</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（二）广西农药数字监管平台软件系统应用系统安全服务</w:t>
            </w:r>
          </w:p>
          <w:p>
            <w:pPr>
              <w:spacing w:line="440" w:lineRule="exact"/>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在平台运行维护阶段，实施风险评估以识别系统面临的不断变化的风险和脆弱性，并通过有效的安全措施干预，确保平台系统能够应对安全风险。项目平台要保证用户数据传输、使用、储存等过程的安全。</w:t>
            </w:r>
          </w:p>
          <w:p>
            <w:pPr>
              <w:spacing w:line="440" w:lineRule="exact"/>
              <w:ind w:firstLine="422" w:firstLineChars="200"/>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b/>
                <w:bCs/>
                <w:color w:val="auto"/>
                <w:szCs w:val="21"/>
                <w:highlight w:val="none"/>
                <w:lang w:val="en-US" w:eastAsia="zh-CN"/>
              </w:rPr>
              <w:t>1.安全监控。</w:t>
            </w:r>
            <w:r>
              <w:rPr>
                <w:rFonts w:hint="default" w:ascii="Times New Roman" w:hAnsi="Times New Roman" w:eastAsia="宋体" w:cs="Times New Roman"/>
                <w:color w:val="auto"/>
                <w:szCs w:val="21"/>
                <w:highlight w:val="none"/>
                <w:lang w:val="en-US" w:eastAsia="zh-CN"/>
              </w:rPr>
              <w:t>根据风险评估结果进行系统安全调优服务，根据系统运行需要实时调整各类设备及系统配置、合理规划系统资源、消除系统漏洞，提高系统稳定性和可靠性。</w:t>
            </w:r>
          </w:p>
          <w:p>
            <w:pPr>
              <w:spacing w:line="440" w:lineRule="exact"/>
              <w:ind w:firstLine="422" w:firstLineChars="200"/>
              <w:rPr>
                <w:rFonts w:hint="eastAsia" w:ascii="Times New Roman" w:hAnsi="Times New Roman" w:eastAsia="宋体" w:cs="Times New Roman"/>
                <w:color w:val="auto"/>
                <w:szCs w:val="21"/>
                <w:highlight w:val="none"/>
                <w:lang w:val="en-US" w:eastAsia="zh-CN"/>
              </w:rPr>
            </w:pPr>
            <w:r>
              <w:rPr>
                <w:rFonts w:hint="default" w:ascii="Times New Roman" w:hAnsi="Times New Roman" w:eastAsia="宋体" w:cs="Times New Roman"/>
                <w:b/>
                <w:bCs/>
                <w:color w:val="auto"/>
                <w:szCs w:val="21"/>
                <w:highlight w:val="none"/>
                <w:lang w:val="en-US" w:eastAsia="zh-CN"/>
              </w:rPr>
              <w:t>2.主动安全加固服务。</w:t>
            </w:r>
            <w:r>
              <w:rPr>
                <w:rFonts w:hint="default" w:ascii="Times New Roman" w:hAnsi="Times New Roman" w:eastAsia="宋体" w:cs="Times New Roman"/>
                <w:color w:val="auto"/>
                <w:szCs w:val="21"/>
                <w:highlight w:val="none"/>
                <w:lang w:val="en-US" w:eastAsia="zh-CN"/>
              </w:rPr>
              <w:t>在未出现安全事故之前就对已经通报或者暴露出来的软件漏洞或最新病毒库更新，就主动进计划的升级和改进，从而避免出现安全事故</w:t>
            </w:r>
            <w:r>
              <w:rPr>
                <w:rFonts w:hint="eastAsia" w:ascii="Times New Roman" w:hAnsi="Times New Roman" w:eastAsia="宋体" w:cs="Times New Roman"/>
                <w:color w:val="auto"/>
                <w:szCs w:val="21"/>
                <w:highlight w:val="none"/>
                <w:lang w:val="en-US" w:eastAsia="zh-CN"/>
              </w:rPr>
              <w:t>。</w:t>
            </w:r>
          </w:p>
          <w:p>
            <w:pPr>
              <w:spacing w:line="440" w:lineRule="exact"/>
              <w:ind w:firstLine="422" w:firstLineChars="2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b/>
                <w:bCs/>
                <w:color w:val="auto"/>
                <w:szCs w:val="21"/>
                <w:highlight w:val="none"/>
                <w:lang w:val="en-US" w:eastAsia="zh-CN"/>
              </w:rPr>
              <w:t>3.网络安全监控服务。</w:t>
            </w:r>
            <w:r>
              <w:rPr>
                <w:rFonts w:hint="eastAsia" w:ascii="Times New Roman" w:hAnsi="Times New Roman" w:eastAsia="宋体" w:cs="Times New Roman"/>
                <w:color w:val="auto"/>
                <w:szCs w:val="21"/>
                <w:highlight w:val="none"/>
                <w:lang w:val="en-US" w:eastAsia="zh-CN"/>
              </w:rPr>
              <w:t>对服务内容进行监控，在安全环境发生变化时，及时更新安全策略，在现有设备和网络情况有改变的时候，快速制定针对更新后设备华景的安全策略，并实施部署，避免因外部环境变更带来的安全风险。</w:t>
            </w:r>
          </w:p>
          <w:p>
            <w:pPr>
              <w:spacing w:line="440" w:lineRule="exact"/>
              <w:ind w:firstLine="422" w:firstLineChars="200"/>
              <w:rPr>
                <w:rFonts w:hint="default" w:ascii="宋体" w:hAnsi="宋体" w:eastAsia="宋体" w:cs="宋体"/>
                <w:color w:val="auto"/>
                <w:szCs w:val="21"/>
                <w:highlight w:val="none"/>
                <w:lang w:val="en-US" w:eastAsia="zh-CN"/>
              </w:rPr>
            </w:pPr>
            <w:r>
              <w:rPr>
                <w:rFonts w:hint="eastAsia" w:ascii="Times New Roman" w:hAnsi="Times New Roman" w:eastAsia="宋体" w:cs="Times New Roman"/>
                <w:b/>
                <w:bCs/>
                <w:color w:val="auto"/>
                <w:szCs w:val="21"/>
                <w:highlight w:val="none"/>
                <w:lang w:val="en-US" w:eastAsia="zh-CN"/>
              </w:rPr>
              <w:t>4.数据/存储/容灾服务。</w:t>
            </w:r>
            <w:r>
              <w:rPr>
                <w:rFonts w:hint="eastAsia" w:ascii="Times New Roman" w:hAnsi="Times New Roman" w:eastAsia="宋体" w:cs="Times New Roman"/>
                <w:color w:val="auto"/>
                <w:szCs w:val="21"/>
                <w:highlight w:val="none"/>
                <w:lang w:val="en-US" w:eastAsia="zh-CN"/>
              </w:rPr>
              <w:t>对系统和业务数据进行统一存储、备份和恢复。目前广西农药数字监管平台数据量约为3000万，预计每年增加800万。</w:t>
            </w:r>
          </w:p>
          <w:p>
            <w:pPr>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三</w:t>
            </w:r>
            <w:r>
              <w:rPr>
                <w:rFonts w:hint="eastAsia" w:ascii="宋体" w:hAnsi="宋体" w:eastAsia="宋体" w:cs="宋体"/>
                <w:color w:val="auto"/>
                <w:szCs w:val="21"/>
                <w:highlight w:val="none"/>
              </w:rPr>
              <w:t>）广西农药数字监管平台软件系统调优</w:t>
            </w:r>
            <w:r>
              <w:rPr>
                <w:rFonts w:hint="eastAsia" w:ascii="宋体" w:hAnsi="宋体" w:eastAsia="宋体" w:cs="宋体"/>
                <w:color w:val="auto"/>
                <w:szCs w:val="21"/>
                <w:highlight w:val="none"/>
                <w:lang w:eastAsia="zh-CN"/>
              </w:rPr>
              <w:t>服务</w:t>
            </w:r>
          </w:p>
          <w:p>
            <w:pPr>
              <w:spacing w:line="440" w:lineRule="exact"/>
              <w:ind w:firstLine="422" w:firstLineChars="200"/>
              <w:rPr>
                <w:rFonts w:hint="default" w:ascii="Times New Roman" w:hAnsi="Times New Roman" w:eastAsia="宋体" w:cs="Times New Roman"/>
                <w:color w:val="auto"/>
                <w:szCs w:val="21"/>
                <w:highlight w:val="none"/>
                <w:lang w:eastAsia="zh-CN"/>
              </w:rPr>
            </w:pPr>
            <w:r>
              <w:rPr>
                <w:rFonts w:hint="eastAsia" w:ascii="Times New Roman" w:hAnsi="Times New Roman" w:eastAsia="宋体" w:cs="Times New Roman"/>
                <w:b/>
                <w:bCs/>
                <w:color w:val="auto"/>
                <w:szCs w:val="21"/>
                <w:highlight w:val="none"/>
                <w:lang w:val="en-US" w:eastAsia="zh-CN"/>
              </w:rPr>
              <w:t>1.</w:t>
            </w:r>
            <w:r>
              <w:rPr>
                <w:rFonts w:hint="default" w:ascii="Times New Roman" w:hAnsi="Times New Roman" w:eastAsia="宋体" w:cs="Times New Roman"/>
                <w:b/>
                <w:bCs/>
                <w:color w:val="auto"/>
                <w:szCs w:val="21"/>
                <w:highlight w:val="none"/>
              </w:rPr>
              <w:t>提供功能优化服务。</w:t>
            </w:r>
            <w:r>
              <w:rPr>
                <w:rFonts w:hint="default" w:ascii="Times New Roman" w:hAnsi="Times New Roman" w:eastAsia="宋体" w:cs="Times New Roman"/>
                <w:color w:val="auto"/>
                <w:szCs w:val="21"/>
                <w:highlight w:val="none"/>
              </w:rPr>
              <w:t>增强系统功能，提升数据填报、数据治理、数据服务、数据应用、系统运维的便利性、全面性、准确性。对系统部分模块进行调优</w:t>
            </w:r>
            <w:r>
              <w:rPr>
                <w:rFonts w:hint="default" w:ascii="Times New Roman" w:hAnsi="Times New Roman" w:eastAsia="宋体" w:cs="Times New Roman"/>
                <w:color w:val="auto"/>
                <w:szCs w:val="21"/>
                <w:highlight w:val="none"/>
                <w:lang w:eastAsia="zh-CN"/>
              </w:rPr>
              <w:t>。</w:t>
            </w:r>
          </w:p>
          <w:p>
            <w:pPr>
              <w:spacing w:line="440" w:lineRule="exact"/>
              <w:ind w:firstLine="422" w:firstLineChars="200"/>
              <w:rPr>
                <w:rFonts w:hint="default" w:ascii="Times New Roman" w:hAnsi="Times New Roman" w:eastAsia="宋体" w:cs="Times New Roman"/>
                <w:b/>
                <w:bCs/>
                <w:color w:val="auto"/>
                <w:szCs w:val="21"/>
                <w:highlight w:val="none"/>
                <w:lang w:eastAsia="zh-CN"/>
              </w:rPr>
            </w:pPr>
            <w:r>
              <w:rPr>
                <w:rFonts w:hint="default" w:ascii="Times New Roman" w:hAnsi="Times New Roman" w:eastAsia="宋体" w:cs="Times New Roman"/>
                <w:b/>
                <w:bCs/>
                <w:color w:val="auto"/>
                <w:szCs w:val="21"/>
                <w:highlight w:val="none"/>
                <w:lang w:eastAsia="zh-CN"/>
              </w:rPr>
              <w:t>具体需求：</w:t>
            </w:r>
          </w:p>
          <w:p>
            <w:pPr>
              <w:spacing w:line="440" w:lineRule="exact"/>
              <w:ind w:firstLine="422" w:firstLineChars="200"/>
              <w:rPr>
                <w:rFonts w:hint="default" w:ascii="Times New Roman" w:hAnsi="Times New Roman" w:eastAsia="宋体" w:cs="Times New Roman"/>
                <w:b/>
                <w:bCs/>
                <w:color w:val="auto"/>
                <w:szCs w:val="21"/>
                <w:highlight w:val="none"/>
                <w:lang w:val="en-US" w:eastAsia="zh-CN"/>
              </w:rPr>
            </w:pPr>
            <w:r>
              <w:rPr>
                <w:rFonts w:hint="default" w:ascii="Times New Roman" w:hAnsi="Times New Roman" w:eastAsia="宋体" w:cs="Times New Roman"/>
                <w:b/>
                <w:bCs/>
                <w:color w:val="auto"/>
                <w:szCs w:val="21"/>
                <w:highlight w:val="none"/>
                <w:lang w:val="en-US" w:eastAsia="zh-CN"/>
              </w:rPr>
              <w:t>（1）新增功能：支持导出全区范围内经过条件筛选的农药进销存台账数据；</w:t>
            </w:r>
          </w:p>
          <w:p>
            <w:pPr>
              <w:spacing w:line="440" w:lineRule="exact"/>
              <w:ind w:firstLine="422" w:firstLineChars="200"/>
              <w:rPr>
                <w:rFonts w:hint="default" w:ascii="Times New Roman" w:hAnsi="Times New Roman" w:eastAsia="宋体" w:cs="Times New Roman"/>
                <w:b/>
                <w:bCs/>
                <w:color w:val="auto"/>
                <w:szCs w:val="21"/>
                <w:highlight w:val="none"/>
                <w:lang w:val="en-US" w:eastAsia="zh-CN"/>
              </w:rPr>
            </w:pPr>
            <w:r>
              <w:rPr>
                <w:rFonts w:hint="default" w:ascii="Times New Roman" w:hAnsi="Times New Roman" w:eastAsia="宋体" w:cs="Times New Roman"/>
                <w:b/>
                <w:bCs/>
                <w:color w:val="auto"/>
                <w:szCs w:val="21"/>
                <w:highlight w:val="none"/>
                <w:lang w:val="en-US" w:eastAsia="zh-CN"/>
              </w:rPr>
              <w:t>（2）优化台账补录机制：将补充登记时限由原30天延长至365天，提升台账管理灵活性。</w:t>
            </w:r>
          </w:p>
          <w:p>
            <w:pPr>
              <w:spacing w:line="440" w:lineRule="exact"/>
              <w:ind w:firstLine="422" w:firstLineChars="200"/>
              <w:rPr>
                <w:rFonts w:hint="default" w:ascii="Times New Roman" w:hAnsi="Times New Roman" w:eastAsia="宋体" w:cs="Times New Roman"/>
                <w:b/>
                <w:bCs/>
                <w:color w:val="auto"/>
                <w:szCs w:val="21"/>
                <w:highlight w:val="none"/>
                <w:lang w:val="en-US" w:eastAsia="zh-CN"/>
              </w:rPr>
            </w:pPr>
            <w:r>
              <w:rPr>
                <w:rFonts w:hint="default" w:ascii="Times New Roman" w:hAnsi="Times New Roman" w:eastAsia="宋体" w:cs="Times New Roman"/>
                <w:b/>
                <w:bCs/>
                <w:color w:val="auto"/>
                <w:szCs w:val="21"/>
                <w:highlight w:val="none"/>
                <w:lang w:val="en-US" w:eastAsia="zh-CN"/>
              </w:rPr>
              <w:t>（3）完善账号注册规范：强制使用农药经营许可证号作为注册账号，并将统一社会信用代码设为唯一标识字段，防止出现同一营业执照办理多张经营许可证或者同一许可证注册多个系统账号；</w:t>
            </w:r>
          </w:p>
          <w:p>
            <w:pPr>
              <w:spacing w:line="440" w:lineRule="exact"/>
              <w:ind w:firstLine="422" w:firstLineChars="200"/>
              <w:rPr>
                <w:rFonts w:hint="default" w:ascii="Times New Roman" w:hAnsi="Times New Roman" w:eastAsia="宋体" w:cs="Times New Roman"/>
                <w:b w:val="0"/>
                <w:bCs w:val="0"/>
                <w:color w:val="auto"/>
                <w:szCs w:val="21"/>
                <w:highlight w:val="none"/>
                <w:lang w:val="en-US" w:eastAsia="zh-CN"/>
              </w:rPr>
            </w:pPr>
            <w:r>
              <w:rPr>
                <w:rFonts w:hint="default" w:ascii="Times New Roman" w:hAnsi="Times New Roman" w:eastAsia="宋体" w:cs="Times New Roman"/>
                <w:b/>
                <w:bCs/>
                <w:color w:val="auto"/>
                <w:szCs w:val="21"/>
                <w:highlight w:val="none"/>
                <w:lang w:val="en-US" w:eastAsia="zh-CN"/>
              </w:rPr>
              <w:t>（4）强化限用农药销售登记要求，必填字段包括：销售农药名称，数量，时间，购买人姓名、身份证号码、电话号码、施用对象；</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四</w:t>
            </w:r>
            <w:r>
              <w:rPr>
                <w:rFonts w:hint="eastAsia" w:ascii="宋体" w:hAnsi="宋体" w:eastAsia="宋体" w:cs="宋体"/>
                <w:color w:val="auto"/>
                <w:szCs w:val="21"/>
                <w:highlight w:val="none"/>
              </w:rPr>
              <w:t>）广西农药数字监管平台数据技术支持服务</w:t>
            </w:r>
          </w:p>
          <w:p>
            <w:pPr>
              <w:spacing w:line="440" w:lineRule="exact"/>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由于平台系统所面对的是广西全区的农药生产经营和监管用户，平台的庞大性、复杂性和集成性，使得系统的售后服务在实施中显得非常重要。需要专业的技术团队提供技术服务支持，满足各系统用户日常需用中的技术协助需求。</w:t>
            </w:r>
          </w:p>
          <w:p>
            <w:pPr>
              <w:spacing w:line="440" w:lineRule="exact"/>
              <w:ind w:firstLine="422"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b/>
                <w:bCs/>
                <w:color w:val="auto"/>
                <w:szCs w:val="21"/>
                <w:highlight w:val="none"/>
                <w:lang w:val="en-US" w:eastAsia="zh-CN"/>
              </w:rPr>
              <w:t>1.</w:t>
            </w:r>
            <w:r>
              <w:rPr>
                <w:rFonts w:hint="default" w:ascii="Times New Roman" w:hAnsi="Times New Roman" w:eastAsia="宋体" w:cs="Times New Roman"/>
                <w:b/>
                <w:bCs/>
                <w:color w:val="auto"/>
                <w:szCs w:val="21"/>
                <w:highlight w:val="none"/>
              </w:rPr>
              <w:t>技术支持服务</w:t>
            </w:r>
            <w:r>
              <w:rPr>
                <w:rFonts w:hint="default" w:ascii="Times New Roman" w:hAnsi="Times New Roman" w:eastAsia="宋体" w:cs="Times New Roman"/>
                <w:b/>
                <w:bCs/>
                <w:color w:val="auto"/>
                <w:szCs w:val="21"/>
                <w:highlight w:val="none"/>
                <w:lang w:eastAsia="zh-CN"/>
              </w:rPr>
              <w:t>。</w:t>
            </w:r>
            <w:r>
              <w:rPr>
                <w:rFonts w:hint="default" w:ascii="Times New Roman" w:hAnsi="Times New Roman" w:eastAsia="宋体" w:cs="Times New Roman"/>
                <w:color w:val="auto"/>
                <w:szCs w:val="21"/>
                <w:highlight w:val="none"/>
              </w:rPr>
              <w:t>提供远程客服服务，为使用部门提供电话咨询、即时通讯工具咨询、远程技术服务、现场服务。广西农药数字监管平台用户包括农业农村厅处室、直属机关单位、农药生产企业、农药登记试验单位、农药经营单位、农药使用单位用户，用户数约2万个。</w:t>
            </w:r>
          </w:p>
          <w:p>
            <w:pPr>
              <w:spacing w:line="440" w:lineRule="exact"/>
              <w:ind w:firstLine="422" w:firstLineChars="200"/>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b/>
                <w:bCs/>
                <w:color w:val="auto"/>
                <w:szCs w:val="21"/>
                <w:highlight w:val="none"/>
                <w:lang w:val="en-US" w:eastAsia="zh-CN"/>
              </w:rPr>
              <w:t>2.技术咨询服务。</w:t>
            </w:r>
            <w:r>
              <w:rPr>
                <w:rFonts w:hint="default" w:ascii="Times New Roman" w:hAnsi="Times New Roman" w:eastAsia="宋体" w:cs="Times New Roman"/>
                <w:color w:val="auto"/>
                <w:szCs w:val="21"/>
                <w:highlight w:val="none"/>
                <w:lang w:val="en-US" w:eastAsia="zh-CN"/>
              </w:rPr>
              <w:t>为系统的技术分析、升级改造提供技术咨询支持，为信息化项目提供咨询服务，协助信息中心到各个部门调研需求并提供相应的需求报告。保证广西农药数字监管系统的数据上报接口稳定运行，协助第三方软件服务商完成平台技术对接和数据上报，为区、市、县农业农村部门及农药生产经营企业提供平台技术咨询服务。</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五</w:t>
            </w:r>
            <w:r>
              <w:rPr>
                <w:rFonts w:hint="eastAsia" w:ascii="宋体" w:hAnsi="宋体" w:eastAsia="宋体" w:cs="宋体"/>
                <w:color w:val="auto"/>
                <w:szCs w:val="21"/>
                <w:highlight w:val="none"/>
              </w:rPr>
              <w:t>）广西农药数字监管平台数据对接服务</w:t>
            </w:r>
          </w:p>
          <w:p>
            <w:pPr>
              <w:spacing w:line="440" w:lineRule="exact"/>
              <w:ind w:firstLine="422" w:firstLineChars="200"/>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b/>
                <w:bCs/>
                <w:color w:val="auto"/>
                <w:szCs w:val="21"/>
                <w:highlight w:val="none"/>
                <w:lang w:val="en-US" w:eastAsia="zh-CN"/>
              </w:rPr>
              <w:t>1.数据对接服务。</w:t>
            </w:r>
            <w:r>
              <w:rPr>
                <w:rFonts w:hint="default" w:ascii="Times New Roman" w:hAnsi="Times New Roman" w:eastAsia="宋体" w:cs="Times New Roman"/>
                <w:color w:val="auto"/>
                <w:szCs w:val="21"/>
                <w:highlight w:val="none"/>
              </w:rPr>
              <w:t>与第三方台账软件服务商对接平台数据对接服务接口，协助完成技术对接和数据上报。</w:t>
            </w:r>
            <w:r>
              <w:rPr>
                <w:rFonts w:hint="default" w:ascii="Times New Roman" w:hAnsi="Times New Roman" w:eastAsia="宋体" w:cs="Times New Roman"/>
                <w:color w:val="auto"/>
                <w:szCs w:val="21"/>
                <w:highlight w:val="none"/>
                <w:lang w:eastAsia="zh-CN"/>
              </w:rPr>
              <w:t>同时，提供数据接口，对接大数据局。</w:t>
            </w:r>
          </w:p>
          <w:p>
            <w:pPr>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（六）广西农药数字监管平台用户培训服务</w:t>
            </w:r>
          </w:p>
          <w:p>
            <w:pPr>
              <w:spacing w:line="440" w:lineRule="exact"/>
              <w:ind w:firstLine="422" w:firstLineChars="200"/>
              <w:rPr>
                <w:rFonts w:ascii="宋体" w:hAnsi="宋体" w:cs="宋体"/>
                <w:color w:val="auto"/>
                <w:szCs w:val="21"/>
                <w:highlight w:val="none"/>
              </w:rPr>
            </w:pPr>
            <w:r>
              <w:rPr>
                <w:rFonts w:hint="default" w:ascii="Times New Roman" w:hAnsi="Times New Roman" w:eastAsia="宋体" w:cs="Times New Roman"/>
                <w:b/>
                <w:bCs/>
                <w:color w:val="auto"/>
                <w:szCs w:val="21"/>
                <w:highlight w:val="none"/>
                <w:lang w:val="en-US" w:eastAsia="zh-CN"/>
              </w:rPr>
              <w:t>1.操作人员培训</w:t>
            </w:r>
            <w:r>
              <w:rPr>
                <w:rFonts w:hint="eastAsia" w:ascii="Times New Roman" w:hAnsi="Times New Roman" w:eastAsia="宋体" w:cs="Times New Roman"/>
                <w:b/>
                <w:bCs/>
                <w:color w:val="auto"/>
                <w:szCs w:val="21"/>
                <w:highlight w:val="none"/>
                <w:lang w:val="en-US" w:eastAsia="zh-CN"/>
              </w:rPr>
              <w:t>服务</w:t>
            </w:r>
            <w:r>
              <w:rPr>
                <w:rFonts w:hint="default" w:ascii="Times New Roman" w:hAnsi="Times New Roman" w:eastAsia="宋体" w:cs="Times New Roman"/>
                <w:b/>
                <w:bCs/>
                <w:color w:val="auto"/>
                <w:szCs w:val="21"/>
                <w:highlight w:val="none"/>
                <w:lang w:val="en-US" w:eastAsia="zh-CN"/>
              </w:rPr>
              <w:t>。</w:t>
            </w:r>
            <w:r>
              <w:rPr>
                <w:rFonts w:hint="default" w:ascii="Times New Roman" w:hAnsi="Times New Roman" w:eastAsia="宋体" w:cs="Times New Roman"/>
                <w:b w:val="0"/>
                <w:bCs w:val="0"/>
                <w:color w:val="auto"/>
                <w:szCs w:val="21"/>
                <w:highlight w:val="none"/>
                <w:lang w:val="en-US" w:eastAsia="zh-CN"/>
              </w:rPr>
              <w:t>相关业务部门由于人员变换需要培训的由公司安排技术人员培训指导，同时负责系统现有用户应用层面的普及性技术与使用培训服务。采用线上培训与线下培训相结合的形式，培训对象包括管理人员、各行政区划业务人员、生产经营企业用户</w:t>
            </w:r>
            <w:r>
              <w:rPr>
                <w:rFonts w:hint="default" w:ascii="Times New Roman" w:hAnsi="Times New Roman" w:eastAsia="宋体" w:cs="Times New Roman"/>
                <w:b w:val="0"/>
                <w:bCs w:val="0"/>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96" w:type="dxa"/>
            <w:gridSpan w:val="6"/>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color w:val="auto"/>
                <w:szCs w:val="21"/>
                <w:highlight w:val="none"/>
              </w:rPr>
            </w:pPr>
            <w:bookmarkStart w:id="29" w:name="OLE_LINK1" w:colFirst="0" w:colLast="1"/>
            <w:r>
              <w:rPr>
                <w:rFonts w:hint="eastAsia" w:ascii="宋体" w:hAnsi="宋体" w:cs="宋体"/>
                <w:b/>
                <w:color w:val="auto"/>
                <w:szCs w:val="21"/>
                <w:highlight w:val="none"/>
              </w:rPr>
              <w:t>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r>
              <w:rPr>
                <w:rFonts w:hint="eastAsia" w:ascii="宋体" w:hAnsi="宋体" w:cs="宋体"/>
                <w:b/>
                <w:bCs/>
                <w:color w:val="auto"/>
                <w:szCs w:val="21"/>
                <w:highlight w:val="none"/>
              </w:rPr>
              <w:t>▲</w:t>
            </w:r>
            <w:r>
              <w:rPr>
                <w:rFonts w:hint="eastAsia" w:ascii="宋体" w:hAnsi="宋体" w:cs="宋体"/>
                <w:bCs/>
                <w:color w:val="auto"/>
                <w:szCs w:val="21"/>
                <w:highlight w:val="none"/>
              </w:rPr>
              <w:t>磋商报价要求</w:t>
            </w:r>
          </w:p>
        </w:tc>
        <w:tc>
          <w:tcPr>
            <w:tcW w:w="8496" w:type="dxa"/>
            <w:gridSpan w:val="3"/>
            <w:tcBorders>
              <w:top w:val="single" w:color="auto" w:sz="4" w:space="0"/>
              <w:left w:val="single" w:color="auto" w:sz="4" w:space="0"/>
              <w:bottom w:val="single" w:color="auto" w:sz="4" w:space="0"/>
              <w:right w:val="single" w:color="auto" w:sz="4" w:space="0"/>
            </w:tcBorders>
            <w:vAlign w:val="center"/>
          </w:tcPr>
          <w:p>
            <w:pPr>
              <w:pStyle w:val="19"/>
              <w:spacing w:line="440" w:lineRule="exact"/>
              <w:rPr>
                <w:rFonts w:ascii="宋体" w:hAnsi="宋体" w:cs="宋体"/>
                <w:color w:val="auto"/>
                <w:szCs w:val="21"/>
                <w:highlight w:val="none"/>
              </w:rPr>
            </w:pPr>
            <w:r>
              <w:rPr>
                <w:rFonts w:hint="eastAsia" w:ascii="宋体" w:hAnsi="宋体" w:cs="宋体"/>
                <w:color w:val="auto"/>
                <w:szCs w:val="21"/>
                <w:highlight w:val="none"/>
              </w:rPr>
              <w:t>报价包括完成本项目“项目需求”中所列所有服务内容产生的所有成本、项目验收、税金、利润等费用，采购人不再另行支付任何费用。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合同履行期限和地点</w:t>
            </w:r>
          </w:p>
        </w:tc>
        <w:tc>
          <w:tcPr>
            <w:tcW w:w="8496"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1.合同履行期限：自合同签订之日起1年；</w:t>
            </w:r>
          </w:p>
          <w:p>
            <w:pPr>
              <w:pStyle w:val="19"/>
              <w:spacing w:line="440" w:lineRule="exact"/>
              <w:rPr>
                <w:rFonts w:ascii="宋体" w:hAnsi="宋体" w:cs="宋体"/>
                <w:color w:val="auto"/>
                <w:szCs w:val="21"/>
                <w:highlight w:val="none"/>
              </w:rPr>
            </w:pPr>
            <w:r>
              <w:rPr>
                <w:rFonts w:hint="eastAsia" w:ascii="宋体" w:hAnsi="宋体" w:cs="宋体"/>
                <w:color w:val="auto"/>
                <w:szCs w:val="21"/>
                <w:highlight w:val="none"/>
              </w:rPr>
              <w:t>2.广西区内采购人指定地点。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付款条件</w:t>
            </w:r>
          </w:p>
        </w:tc>
        <w:tc>
          <w:tcPr>
            <w:tcW w:w="8496"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b/>
                <w:color w:val="auto"/>
                <w:szCs w:val="21"/>
                <w:highlight w:val="none"/>
              </w:rPr>
            </w:pPr>
            <w:bookmarkStart w:id="30" w:name="OLE_LINK76"/>
            <w:r>
              <w:rPr>
                <w:rFonts w:hint="eastAsia" w:ascii="宋体" w:hAnsi="宋体" w:cs="宋体"/>
                <w:bCs/>
                <w:color w:val="auto"/>
                <w:szCs w:val="21"/>
                <w:highlight w:val="none"/>
              </w:rPr>
              <w:t>采购人应于合同签订后20个工作日内，向成交供应商支付30%的合同款;供应商持续提供运维服务满2个月后，采购人向供应商支付剩余60%合同款；待项目通过年度验收并确认合格后，采购人向供应商支付剩余10%合同款。成交供应商应于每次收到合同款后3个工作日内，向采购人出具合法有效的增值税专用发票，发票金额须与当次收款金额完全相符。</w:t>
            </w:r>
            <w:bookmarkEnd w:id="3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r>
              <w:rPr>
                <w:rFonts w:hint="eastAsia" w:ascii="宋体" w:hAnsi="宋体" w:cs="宋体"/>
                <w:color w:val="auto"/>
                <w:szCs w:val="21"/>
                <w:highlight w:val="none"/>
              </w:rPr>
              <w:t>▲售后服务</w:t>
            </w:r>
          </w:p>
        </w:tc>
        <w:tc>
          <w:tcPr>
            <w:tcW w:w="8496"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宋体" w:hAnsi="宋体" w:cs="宋体"/>
                <w:color w:val="auto"/>
                <w:szCs w:val="21"/>
                <w:highlight w:val="none"/>
              </w:rPr>
            </w:pPr>
            <w:bookmarkStart w:id="31" w:name="OLE_LINK77"/>
            <w:r>
              <w:rPr>
                <w:rFonts w:hint="eastAsia" w:ascii="宋体" w:hAnsi="宋体" w:cs="宋体"/>
                <w:color w:val="auto"/>
                <w:szCs w:val="21"/>
                <w:highlight w:val="none"/>
              </w:rPr>
              <w:t>1.售后服务：</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（1）质量保证期内按采购人指定的地点上门服务</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上门服务费用包含在报价中</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pPr>
              <w:spacing w:line="44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（2）服务期内提供7×24小时电话技术支持（包含电话、邮件、远程桌面支持等）</w:t>
            </w:r>
            <w:r>
              <w:rPr>
                <w:rFonts w:hint="eastAsia" w:ascii="宋体" w:hAnsi="宋体" w:cs="宋体"/>
                <w:color w:val="auto"/>
                <w:szCs w:val="21"/>
                <w:highlight w:val="none"/>
                <w:lang w:eastAsia="zh-CN"/>
              </w:rPr>
              <w:t>；</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（3）接到故障通知后，工作日2小时内到现场，非工作日时间4小时内到达现场。</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（4）定期回访；</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2.在质量保证期内，通过热线咨询电话、呼叫中心方式实现电话技术支持，提供日常系统疑问咨询解答，帮助业务人员顺利完成系统日常运作。</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3.在质量保证期内，通过在线帮助中心、电子邮件、QQ网络技术支持，及时在线解答采购单位人员咨询疑问。</w:t>
            </w:r>
            <w:bookmarkEnd w:id="31"/>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其他要求</w:t>
            </w:r>
          </w:p>
        </w:tc>
        <w:tc>
          <w:tcPr>
            <w:tcW w:w="8496" w:type="dxa"/>
            <w:gridSpan w:val="3"/>
            <w:tcBorders>
              <w:top w:val="single" w:color="auto" w:sz="4" w:space="0"/>
              <w:left w:val="single" w:color="auto" w:sz="4" w:space="0"/>
              <w:bottom w:val="single" w:color="auto" w:sz="4" w:space="0"/>
              <w:right w:val="single" w:color="auto" w:sz="4" w:space="0"/>
            </w:tcBorders>
            <w:vAlign w:val="center"/>
          </w:tcPr>
          <w:p>
            <w:pPr>
              <w:pStyle w:val="213"/>
              <w:spacing w:line="440" w:lineRule="exact"/>
              <w:rPr>
                <w:rFonts w:ascii="宋体" w:hAnsi="宋体" w:cs="宋体"/>
                <w:bCs w:val="0"/>
                <w:color w:val="auto"/>
                <w:spacing w:val="0"/>
                <w:kern w:val="2"/>
                <w:sz w:val="21"/>
                <w:szCs w:val="21"/>
                <w:highlight w:val="none"/>
              </w:rPr>
            </w:pPr>
            <w:r>
              <w:rPr>
                <w:rFonts w:hint="eastAsia" w:ascii="宋体" w:hAnsi="宋体" w:cs="宋体"/>
                <w:bCs w:val="0"/>
                <w:color w:val="auto"/>
                <w:spacing w:val="0"/>
                <w:kern w:val="2"/>
                <w:sz w:val="21"/>
                <w:szCs w:val="21"/>
                <w:highlight w:val="none"/>
              </w:rPr>
              <w:t>1.版权归属：应用软件版权归广西壮族自治区农业信息中心所有，本项目采购软件或基于开源软件所涉及的二次开发部分知识产权归采购人所有。</w:t>
            </w:r>
          </w:p>
          <w:p>
            <w:pPr>
              <w:pStyle w:val="213"/>
              <w:spacing w:line="440" w:lineRule="exact"/>
              <w:rPr>
                <w:rFonts w:ascii="宋体" w:hAnsi="宋体" w:cs="宋体"/>
                <w:bCs w:val="0"/>
                <w:color w:val="auto"/>
                <w:spacing w:val="0"/>
                <w:kern w:val="2"/>
                <w:sz w:val="21"/>
                <w:szCs w:val="21"/>
                <w:highlight w:val="none"/>
              </w:rPr>
            </w:pPr>
            <w:r>
              <w:rPr>
                <w:rFonts w:hint="eastAsia" w:ascii="宋体" w:hAnsi="宋体" w:cs="宋体"/>
                <w:bCs w:val="0"/>
                <w:color w:val="auto"/>
                <w:spacing w:val="0"/>
                <w:kern w:val="2"/>
                <w:sz w:val="21"/>
                <w:szCs w:val="21"/>
                <w:highlight w:val="none"/>
              </w:rPr>
              <w:t>2.供应商请在响应文件中提供具体的服务方案和服务机构的详细情况（包括服务机构的地址、服务人员姓名、联系方式等）。</w:t>
            </w:r>
          </w:p>
        </w:tc>
      </w:tr>
      <w:bookmarkEnd w:id="29"/>
    </w:tbl>
    <w:p>
      <w:pPr>
        <w:pStyle w:val="19"/>
        <w:spacing w:line="440" w:lineRule="exact"/>
        <w:rPr>
          <w:rFonts w:ascii="宋体" w:hAnsi="宋体" w:cs="宋体"/>
          <w:b/>
          <w:color w:val="auto"/>
          <w:sz w:val="24"/>
          <w:highlight w:val="none"/>
        </w:rPr>
        <w:sectPr>
          <w:pgSz w:w="11906" w:h="16838"/>
          <w:pgMar w:top="1134" w:right="1247" w:bottom="1134" w:left="1247" w:header="851" w:footer="992" w:gutter="0"/>
          <w:cols w:space="720" w:num="1"/>
          <w:docGrid w:linePitch="312" w:charSpace="0"/>
        </w:sectPr>
      </w:pPr>
    </w:p>
    <w:p>
      <w:pPr>
        <w:pStyle w:val="5"/>
        <w:spacing w:before="0" w:after="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标项二</w:t>
      </w:r>
    </w:p>
    <w:tbl>
      <w:tblPr>
        <w:tblStyle w:val="41"/>
        <w:tblW w:w="108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6"/>
        <w:gridCol w:w="1111"/>
        <w:gridCol w:w="588"/>
        <w:gridCol w:w="300"/>
        <w:gridCol w:w="699"/>
        <w:gridCol w:w="74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656" w:type="dxa"/>
            <w:vAlign w:val="center"/>
          </w:tcPr>
          <w:p>
            <w:pPr>
              <w:tabs>
                <w:tab w:val="left" w:pos="180"/>
                <w:tab w:val="left" w:pos="1620"/>
              </w:tabs>
              <w:spacing w:line="32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111" w:type="dxa"/>
            <w:vAlign w:val="center"/>
          </w:tcPr>
          <w:p>
            <w:pPr>
              <w:tabs>
                <w:tab w:val="left" w:pos="180"/>
                <w:tab w:val="left" w:pos="1620"/>
              </w:tabs>
              <w:jc w:val="center"/>
              <w:rPr>
                <w:rFonts w:ascii="宋体" w:hAnsi="宋体" w:cs="宋体"/>
                <w:b/>
                <w:bCs/>
                <w:color w:val="auto"/>
                <w:szCs w:val="21"/>
                <w:highlight w:val="none"/>
              </w:rPr>
            </w:pPr>
            <w:r>
              <w:rPr>
                <w:rFonts w:hint="eastAsia" w:ascii="宋体" w:hAnsi="宋体" w:cs="宋体"/>
                <w:b/>
                <w:bCs/>
                <w:color w:val="auto"/>
                <w:szCs w:val="21"/>
                <w:highlight w:val="none"/>
              </w:rPr>
              <w:t>标的名称</w:t>
            </w:r>
          </w:p>
        </w:tc>
        <w:tc>
          <w:tcPr>
            <w:tcW w:w="888" w:type="dxa"/>
            <w:gridSpan w:val="2"/>
            <w:vAlign w:val="center"/>
          </w:tcPr>
          <w:p>
            <w:pPr>
              <w:tabs>
                <w:tab w:val="left" w:pos="180"/>
                <w:tab w:val="left" w:pos="1620"/>
              </w:tabs>
              <w:spacing w:line="320" w:lineRule="exact"/>
              <w:jc w:val="center"/>
              <w:rPr>
                <w:rFonts w:ascii="宋体" w:hAnsi="宋体" w:cs="宋体"/>
                <w:b/>
                <w:bCs/>
                <w:color w:val="auto"/>
                <w:szCs w:val="21"/>
                <w:highlight w:val="none"/>
              </w:rPr>
            </w:pPr>
            <w:r>
              <w:rPr>
                <w:rFonts w:hint="eastAsia" w:ascii="宋体" w:hAnsi="宋体" w:cs="宋体"/>
                <w:b/>
                <w:bCs/>
                <w:color w:val="auto"/>
                <w:szCs w:val="21"/>
                <w:highlight w:val="none"/>
              </w:rPr>
              <w:t>数量及单位</w:t>
            </w:r>
          </w:p>
        </w:tc>
        <w:tc>
          <w:tcPr>
            <w:tcW w:w="699" w:type="dxa"/>
            <w:vAlign w:val="center"/>
          </w:tcPr>
          <w:p>
            <w:pPr>
              <w:tabs>
                <w:tab w:val="left" w:pos="180"/>
                <w:tab w:val="left" w:pos="1620"/>
              </w:tabs>
              <w:spacing w:line="320" w:lineRule="exact"/>
              <w:jc w:val="center"/>
              <w:rPr>
                <w:rFonts w:ascii="宋体" w:hAnsi="宋体" w:cs="宋体"/>
                <w:b/>
                <w:bCs/>
                <w:color w:val="auto"/>
                <w:szCs w:val="21"/>
                <w:highlight w:val="none"/>
              </w:rPr>
            </w:pPr>
            <w:r>
              <w:rPr>
                <w:rFonts w:hint="eastAsia" w:ascii="宋体" w:hAnsi="宋体" w:cs="宋体"/>
                <w:b/>
                <w:bCs/>
                <w:color w:val="auto"/>
                <w:szCs w:val="21"/>
                <w:highlight w:val="none"/>
              </w:rPr>
              <w:t>所属</w:t>
            </w:r>
          </w:p>
          <w:p>
            <w:pPr>
              <w:tabs>
                <w:tab w:val="left" w:pos="180"/>
                <w:tab w:val="left" w:pos="1620"/>
              </w:tabs>
              <w:spacing w:line="320" w:lineRule="exact"/>
              <w:jc w:val="center"/>
              <w:rPr>
                <w:rFonts w:ascii="宋体" w:hAnsi="宋体" w:cs="宋体"/>
                <w:b/>
                <w:bCs/>
                <w:color w:val="auto"/>
                <w:szCs w:val="21"/>
                <w:highlight w:val="none"/>
              </w:rPr>
            </w:pPr>
            <w:r>
              <w:rPr>
                <w:rFonts w:hint="eastAsia" w:ascii="宋体" w:hAnsi="宋体" w:cs="宋体"/>
                <w:b/>
                <w:bCs/>
                <w:color w:val="auto"/>
                <w:szCs w:val="21"/>
                <w:highlight w:val="none"/>
              </w:rPr>
              <w:t>行业</w:t>
            </w:r>
          </w:p>
        </w:tc>
        <w:tc>
          <w:tcPr>
            <w:tcW w:w="7497" w:type="dxa"/>
            <w:vAlign w:val="center"/>
          </w:tcPr>
          <w:p>
            <w:pPr>
              <w:tabs>
                <w:tab w:val="left" w:pos="180"/>
                <w:tab w:val="left" w:pos="1620"/>
              </w:tabs>
              <w:spacing w:line="320" w:lineRule="exact"/>
              <w:jc w:val="center"/>
              <w:rPr>
                <w:rFonts w:ascii="宋体" w:hAnsi="宋体" w:cs="宋体"/>
                <w:b/>
                <w:bCs/>
                <w:color w:val="auto"/>
                <w:szCs w:val="21"/>
                <w:highlight w:val="none"/>
              </w:rPr>
            </w:pPr>
            <w:r>
              <w:rPr>
                <w:rFonts w:hint="eastAsia" w:ascii="宋体" w:hAnsi="宋体" w:cs="宋体"/>
                <w:b/>
                <w:bCs/>
                <w:color w:val="auto"/>
                <w:szCs w:val="21"/>
                <w:highlight w:val="none"/>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656" w:type="dxa"/>
            <w:vAlign w:val="center"/>
          </w:tcPr>
          <w:p>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111" w:type="dxa"/>
            <w:vAlign w:val="center"/>
          </w:tcPr>
          <w:p>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广西农业农村厅协同办公系统平台运维服务</w:t>
            </w:r>
          </w:p>
        </w:tc>
        <w:tc>
          <w:tcPr>
            <w:tcW w:w="888" w:type="dxa"/>
            <w:gridSpan w:val="2"/>
            <w:vAlign w:val="center"/>
          </w:tcPr>
          <w:p>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699" w:type="dxa"/>
            <w:vAlign w:val="center"/>
          </w:tcPr>
          <w:p>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软件和信息技术服务业</w:t>
            </w:r>
          </w:p>
        </w:tc>
        <w:tc>
          <w:tcPr>
            <w:tcW w:w="7497" w:type="dxa"/>
            <w:vAlign w:val="center"/>
          </w:tcPr>
          <w:tbl>
            <w:tblPr>
              <w:tblStyle w:val="41"/>
              <w:tblW w:w="48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1398"/>
              <w:gridCol w:w="5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421" w:type="pct"/>
                  <w:shd w:val="clear" w:color="auto" w:fill="auto"/>
                  <w:vAlign w:val="center"/>
                </w:tcPr>
                <w:p>
                  <w:pPr>
                    <w:spacing w:line="440" w:lineRule="exact"/>
                    <w:jc w:val="center"/>
                    <w:textAlignment w:val="center"/>
                    <w:rPr>
                      <w:rFonts w:ascii="宋体" w:hAnsi="宋体" w:cs="宋体"/>
                      <w:b/>
                      <w:bCs/>
                      <w:color w:val="auto"/>
                      <w:szCs w:val="21"/>
                      <w:highlight w:val="none"/>
                    </w:rPr>
                  </w:pPr>
                  <w:r>
                    <w:rPr>
                      <w:rFonts w:hint="eastAsia" w:ascii="宋体" w:hAnsi="宋体" w:cs="宋体"/>
                      <w:b/>
                      <w:bCs/>
                      <w:color w:val="auto"/>
                      <w:szCs w:val="21"/>
                      <w:highlight w:val="none"/>
                      <w:lang w:bidi="ar"/>
                    </w:rPr>
                    <w:t>序号</w:t>
                  </w:r>
                </w:p>
              </w:tc>
              <w:tc>
                <w:tcPr>
                  <w:tcW w:w="996" w:type="pct"/>
                  <w:shd w:val="clear" w:color="auto" w:fill="auto"/>
                  <w:vAlign w:val="center"/>
                </w:tcPr>
                <w:p>
                  <w:pPr>
                    <w:spacing w:line="440" w:lineRule="exact"/>
                    <w:jc w:val="center"/>
                    <w:textAlignment w:val="center"/>
                    <w:rPr>
                      <w:rFonts w:ascii="宋体" w:hAnsi="宋体" w:cs="宋体"/>
                      <w:b/>
                      <w:bCs/>
                      <w:color w:val="auto"/>
                      <w:szCs w:val="21"/>
                      <w:highlight w:val="none"/>
                    </w:rPr>
                  </w:pPr>
                  <w:r>
                    <w:rPr>
                      <w:rFonts w:hint="eastAsia" w:ascii="宋体" w:hAnsi="宋体" w:cs="宋体"/>
                      <w:b/>
                      <w:bCs/>
                      <w:color w:val="auto"/>
                      <w:szCs w:val="21"/>
                      <w:highlight w:val="none"/>
                      <w:lang w:bidi="ar"/>
                    </w:rPr>
                    <w:t>运维服务子项目/子系统</w:t>
                  </w:r>
                </w:p>
              </w:tc>
              <w:tc>
                <w:tcPr>
                  <w:tcW w:w="3582" w:type="pct"/>
                  <w:shd w:val="clear" w:color="auto" w:fill="auto"/>
                  <w:vAlign w:val="center"/>
                </w:tcPr>
                <w:p>
                  <w:pPr>
                    <w:spacing w:line="440" w:lineRule="exact"/>
                    <w:jc w:val="center"/>
                    <w:textAlignment w:val="center"/>
                    <w:rPr>
                      <w:rFonts w:ascii="宋体" w:hAnsi="宋体" w:cs="宋体"/>
                      <w:b/>
                      <w:bCs/>
                      <w:color w:val="auto"/>
                      <w:szCs w:val="21"/>
                      <w:highlight w:val="none"/>
                    </w:rPr>
                  </w:pPr>
                  <w:r>
                    <w:rPr>
                      <w:rFonts w:hint="eastAsia" w:ascii="宋体" w:hAnsi="宋体" w:cs="宋体"/>
                      <w:b/>
                      <w:bCs/>
                      <w:color w:val="auto"/>
                      <w:szCs w:val="21"/>
                      <w:highlight w:val="none"/>
                      <w:lang w:bidi="ar"/>
                    </w:rPr>
                    <w:t>主要运维服务内容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shd w:val="clear" w:color="auto" w:fill="auto"/>
                  <w:vAlign w:val="center"/>
                </w:tcPr>
                <w:p>
                  <w:pPr>
                    <w:spacing w:line="440" w:lineRule="exact"/>
                    <w:jc w:val="center"/>
                    <w:textAlignment w:val="center"/>
                    <w:rPr>
                      <w:rFonts w:ascii="宋体" w:hAnsi="宋体" w:cs="宋体"/>
                      <w:b/>
                      <w:bCs/>
                      <w:color w:val="auto"/>
                      <w:szCs w:val="21"/>
                      <w:highlight w:val="none"/>
                    </w:rPr>
                  </w:pPr>
                  <w:r>
                    <w:rPr>
                      <w:rFonts w:hint="eastAsia" w:ascii="宋体" w:hAnsi="宋体" w:cs="宋体"/>
                      <w:b/>
                      <w:bCs/>
                      <w:color w:val="auto"/>
                      <w:szCs w:val="21"/>
                      <w:highlight w:val="none"/>
                      <w:lang w:bidi="ar"/>
                    </w:rPr>
                    <w:t>1</w:t>
                  </w:r>
                </w:p>
              </w:tc>
              <w:tc>
                <w:tcPr>
                  <w:tcW w:w="996" w:type="pct"/>
                  <w:shd w:val="clear" w:color="auto" w:fill="auto"/>
                  <w:vAlign w:val="center"/>
                </w:tcPr>
                <w:p>
                  <w:pPr>
                    <w:spacing w:line="440" w:lineRule="exact"/>
                    <w:textAlignment w:val="center"/>
                    <w:rPr>
                      <w:rFonts w:ascii="宋体" w:hAnsi="宋体" w:cs="宋体"/>
                      <w:b/>
                      <w:bCs/>
                      <w:color w:val="auto"/>
                      <w:szCs w:val="21"/>
                      <w:highlight w:val="none"/>
                    </w:rPr>
                  </w:pPr>
                  <w:r>
                    <w:rPr>
                      <w:rFonts w:hint="eastAsia" w:ascii="宋体" w:hAnsi="宋体" w:cs="宋体"/>
                      <w:b/>
                      <w:bCs/>
                      <w:color w:val="auto"/>
                      <w:szCs w:val="21"/>
                      <w:highlight w:val="none"/>
                      <w:lang w:bidi="ar"/>
                    </w:rPr>
                    <w:t>驻场服务</w:t>
                  </w:r>
                </w:p>
              </w:tc>
              <w:tc>
                <w:tcPr>
                  <w:tcW w:w="3582" w:type="pct"/>
                  <w:shd w:val="clear" w:color="auto" w:fill="auto"/>
                  <w:vAlign w:val="center"/>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restart"/>
                  <w:shd w:val="clear" w:color="auto" w:fill="auto"/>
                  <w:vAlign w:val="center"/>
                </w:tcPr>
                <w:p>
                  <w:pPr>
                    <w:spacing w:line="4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1.1</w:t>
                  </w:r>
                </w:p>
              </w:tc>
              <w:tc>
                <w:tcPr>
                  <w:tcW w:w="996" w:type="pct"/>
                  <w:vMerge w:val="restar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驻场运维</w:t>
                  </w: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1）驻场技术支持和运维工程师各1名，提供协同办公系统等多个政务系统驻场调试、运维服务，保障协同办公系统运行平稳，确保在全区73个单位和14个地市农业局的电子公文业务流转正常；满足南宁市多个包括青山路办公区、七星路办公区、新民路办公区技术支持、维护、系统调整量巨大和上门业务培训及指导频繁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（2）驻场人员和运维工程师，依需对系统进行优化和调整，根据不同批次的国产电脑等设备，实地进行安装、测试和调试。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（3）在平台运维期间，提供7*24小时系统故障处理、优化运维、数据运维等保障。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restart"/>
                  <w:shd w:val="clear" w:color="auto" w:fill="auto"/>
                  <w:vAlign w:val="center"/>
                </w:tcPr>
                <w:p>
                  <w:pPr>
                    <w:spacing w:line="4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1.2</w:t>
                  </w:r>
                </w:p>
              </w:tc>
              <w:tc>
                <w:tcPr>
                  <w:tcW w:w="996" w:type="pct"/>
                  <w:vMerge w:val="restart"/>
                  <w:shd w:val="clear" w:color="auto" w:fill="auto"/>
                  <w:vAlign w:val="center"/>
                </w:tcPr>
                <w:p>
                  <w:pPr>
                    <w:spacing w:line="4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日常运维监控服务</w:t>
                  </w: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（1）数据纠错：通过技术手段或人工处理的方式，查找出因软件系统程序原因或用户操作失误引起的错误业务数据项，并对错误数据项及时做纠正处理。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（2）日常维护：根据用户要求完成必要的数据调整，通过软件系统后台程序及操作软件系统数据库完成调整；根据用户要求的参数指标，通过软件系统数据库对软件系统产生的业务数据进行统计生成报表。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（3）系统巡检：按照软件系统巡检方案进行每日的对协同办公系统（PC端和移动端，共计15个大功能模块）软件系统进行例行巡检；按照农业厅具体要求，完成特殊时期的驻地值守、系统监控等运维服务任务。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（4）接口维护：开发用户或厂家需要的接口程序（包括功能接口、数据接口），以及相关的调整、联调、配合工作；对已开发在用的接口程序（包括功能接口、数据接口），进行功能性维护、性能优化维护等。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5）数据监控：对数据生产、同步、展示过程进行监控，确保数据处理流程正常运行；监控数据生产变化情况，及时分析异常，并及时向农业信息中心技术处通报；监控互联网端与政务外网端每日数据的比对结果，分析差异情况，及时进行修正；检查应用系统的数据准确性，确保数据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restart"/>
                  <w:shd w:val="clear" w:color="auto" w:fill="auto"/>
                  <w:vAlign w:val="center"/>
                </w:tcPr>
                <w:p>
                  <w:pPr>
                    <w:spacing w:line="4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1.3</w:t>
                  </w:r>
                </w:p>
              </w:tc>
              <w:tc>
                <w:tcPr>
                  <w:tcW w:w="996" w:type="pct"/>
                  <w:vMerge w:val="restar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培训服务</w:t>
                  </w: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（1）提供各种类型用户培训。包括普通用户培训、管理员培训、单位领导用户培训。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2）针对新员工以及职位调动的人员需要提供特殊用户培训的方案来解决存在的问题。特殊用户培训，主要针对维护期内新进员工或调岗、换岗员工，维护项目组有针对性讲解系统基本原理和架构，以及基本操作，加深他们对系统认识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（3）运维项目组提供各种类型用户的系统操作手册、演示PPT，并制作动画教程，帮助用户尽快掌握系统的操作方法。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（4）为用户总结各种操作技巧，编制操作技巧大全，提高用户使用习惯。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restart"/>
                  <w:shd w:val="clear" w:color="auto" w:fill="auto"/>
                  <w:vAlign w:val="center"/>
                </w:tcPr>
                <w:p>
                  <w:pPr>
                    <w:spacing w:line="4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1.4</w:t>
                  </w:r>
                </w:p>
              </w:tc>
              <w:tc>
                <w:tcPr>
                  <w:tcW w:w="996" w:type="pct"/>
                  <w:vMerge w:val="restar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电话咨询、QQ、微信、远程协助支持服务</w:t>
                  </w: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（1）提供电话咨询、QQ、微信、远程协助支持服务。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（2）对客户指定业务进行全面解答，并利用自身行业经验对客户业务调整、改造提出合理化建议。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（3）开展与客户的业务支持，配合客户完成业务调整需求方案。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restart"/>
                  <w:shd w:val="clear" w:color="auto" w:fill="auto"/>
                  <w:vAlign w:val="center"/>
                </w:tcPr>
                <w:p>
                  <w:pPr>
                    <w:spacing w:line="4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1.5</w:t>
                  </w:r>
                </w:p>
              </w:tc>
              <w:tc>
                <w:tcPr>
                  <w:tcW w:w="996" w:type="pct"/>
                  <w:vMerge w:val="restar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文档编写服务</w:t>
                  </w: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（1）每周提交对内工作周报和对外工作周报（视客户要求而定）。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（2）每月提供系统检测分析报告。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（3）每月提供服务报告,内容包括每月服务内容和系统的巡检情况。并根据服务器巡检情况，提出系统运行报告最终总结同时给出系统调整建议。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（4）每月提供公文流转报表统计及分析（包括每月新增的公文数、文件归档数）。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（5）对系统进行重大更新、数据处理、升级等操作，需要向用户提供完整的解决方案和风险评估报告。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shd w:val="clear" w:color="auto" w:fill="auto"/>
                  <w:vAlign w:val="center"/>
                </w:tcPr>
                <w:p>
                  <w:pPr>
                    <w:spacing w:line="440" w:lineRule="exact"/>
                    <w:jc w:val="center"/>
                    <w:textAlignment w:val="center"/>
                    <w:rPr>
                      <w:rFonts w:ascii="宋体" w:hAnsi="宋体" w:cs="宋体"/>
                      <w:b/>
                      <w:bCs/>
                      <w:color w:val="auto"/>
                      <w:szCs w:val="21"/>
                      <w:highlight w:val="none"/>
                    </w:rPr>
                  </w:pPr>
                  <w:r>
                    <w:rPr>
                      <w:rFonts w:hint="eastAsia" w:ascii="宋体" w:hAnsi="宋体" w:cs="宋体"/>
                      <w:b/>
                      <w:bCs/>
                      <w:color w:val="auto"/>
                      <w:szCs w:val="21"/>
                      <w:highlight w:val="none"/>
                      <w:lang w:bidi="ar"/>
                    </w:rPr>
                    <w:t>2</w:t>
                  </w:r>
                </w:p>
              </w:tc>
              <w:tc>
                <w:tcPr>
                  <w:tcW w:w="996" w:type="pct"/>
                  <w:shd w:val="clear" w:color="auto" w:fill="auto"/>
                  <w:vAlign w:val="center"/>
                </w:tcPr>
                <w:p>
                  <w:pPr>
                    <w:spacing w:line="440" w:lineRule="exact"/>
                    <w:textAlignment w:val="center"/>
                    <w:rPr>
                      <w:rFonts w:ascii="宋体" w:hAnsi="宋体" w:cs="宋体"/>
                      <w:b/>
                      <w:bCs/>
                      <w:color w:val="auto"/>
                      <w:szCs w:val="21"/>
                      <w:highlight w:val="none"/>
                    </w:rPr>
                  </w:pPr>
                  <w:r>
                    <w:rPr>
                      <w:rFonts w:hint="eastAsia" w:ascii="宋体" w:hAnsi="宋体" w:cs="宋体"/>
                      <w:b/>
                      <w:bCs/>
                      <w:color w:val="auto"/>
                      <w:szCs w:val="21"/>
                      <w:highlight w:val="none"/>
                      <w:lang w:bidi="ar"/>
                    </w:rPr>
                    <w:t>系统运维保障服务</w:t>
                  </w:r>
                </w:p>
              </w:tc>
              <w:tc>
                <w:tcPr>
                  <w:tcW w:w="3582" w:type="pct"/>
                  <w:shd w:val="clear" w:color="auto" w:fill="auto"/>
                  <w:vAlign w:val="center"/>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restart"/>
                  <w:shd w:val="clear" w:color="auto" w:fill="auto"/>
                  <w:vAlign w:val="center"/>
                </w:tcPr>
                <w:p>
                  <w:pPr>
                    <w:spacing w:line="4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2.1</w:t>
                  </w:r>
                </w:p>
              </w:tc>
              <w:tc>
                <w:tcPr>
                  <w:tcW w:w="996" w:type="pct"/>
                  <w:vMerge w:val="restar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协同办公系统服务器端维护</w:t>
                  </w: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（1）协同系统服务器代码的备份，服务器软硬件及网络环境进行定期、不定期地监控与维护管理。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（2）每周对协同系统进行检测，检查系统各项服务是否正常。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（3）协同系统的补丁更新及测试，确保更新正常。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（4）台帐记录：针对每次的服务器代码修改、功能调整或更改服务器设置，都需要记录在服务器台帐中。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（5）定期检查系统的数据、文件等占用服务器资源情况，根据用户需求做出分析与报告。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（6）做好系统安全维护工作和数据备份工作，包括协同系统数据库备份，以及系统的正文附件的备份和数据归档至相关档案系统。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（7）全面掌握系统环境和功能，记录协同系统对应服务器及相关设备的配置信息，并存档保存，如有变动需及时更新。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（8）对中间件进行例行巡检，对中间件服务器进行参数调整。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（9）定期数据库检查，调整数据库参数。对数据库进行紧缩优化，清理数据库日志文件。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（10）系统数据备份,针对不同的数据制定并执行完善的备份方案，配合客户实施数据恢复演练。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restart"/>
                  <w:shd w:val="clear" w:color="auto" w:fill="auto"/>
                  <w:vAlign w:val="center"/>
                </w:tcPr>
                <w:p>
                  <w:pPr>
                    <w:spacing w:line="4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2.2</w:t>
                  </w:r>
                </w:p>
              </w:tc>
              <w:tc>
                <w:tcPr>
                  <w:tcW w:w="996" w:type="pct"/>
                  <w:vMerge w:val="restar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协同办公系统电脑及移动APP客户端维护</w:t>
                  </w: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（1）日常客户端使用故障的判断和解决。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（2）提供协同的使用技巧（不定期提供同版本的其它用户或新发现故障的解决办法和使用技巧）。</w:t>
                  </w:r>
                </w:p>
              </w:tc>
            </w:tr>
            <w:tr>
              <w:tblPrEx>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（3）重要岗位的客户端机器上出现协同使用的问题时，及时现场服务。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（4）对公文流转全过程进行维护。需要特殊处理公文流转步骤，给予优先解决。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（5）根据用户不同的客户端环境分别进行设置，保证客户端正常使用。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（6）解决日常用户在使用系统中出现的其他操作问题。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shd w:val="clear" w:color="auto" w:fill="auto"/>
                  <w:vAlign w:val="center"/>
                </w:tcPr>
                <w:p>
                  <w:pPr>
                    <w:spacing w:line="4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2.3</w:t>
                  </w:r>
                </w:p>
              </w:tc>
              <w:tc>
                <w:tcPr>
                  <w:tcW w:w="996"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系统功能模块维护</w:t>
                  </w: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对个人中心、我的公文、公文管理、公文共享交换、公文查询、厅领导活动、会议专区、归档文件、办文统计、短信管理、流程管理、系统管理、统一用户身份认证模块等功能模块维护。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restart"/>
                  <w:shd w:val="clear" w:color="auto" w:fill="auto"/>
                  <w:vAlign w:val="center"/>
                </w:tcPr>
                <w:p>
                  <w:pPr>
                    <w:spacing w:line="4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2.4</w:t>
                  </w:r>
                </w:p>
              </w:tc>
              <w:tc>
                <w:tcPr>
                  <w:tcW w:w="996" w:type="pct"/>
                  <w:vMerge w:val="restar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推广服务</w:t>
                  </w: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（1）协助用户进行系统推广工作，制定推广计划，实施推广服务。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（2）根据收集的用户意见，提出有针对性的建议或解决方案。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（3）解答各部门提出的协同使用问题和网络故障等技术问题。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（4）组织讨论当前各部门的使用情况、意见和下一步的推广思路。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（5）提高用户使用系统的积极性，以达到促进系统的推广工作的目的。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shd w:val="clear" w:color="auto" w:fill="auto"/>
                  <w:vAlign w:val="center"/>
                </w:tcPr>
                <w:p>
                  <w:pPr>
                    <w:spacing w:line="440" w:lineRule="exact"/>
                    <w:jc w:val="center"/>
                    <w:textAlignment w:val="center"/>
                    <w:rPr>
                      <w:rFonts w:ascii="宋体" w:hAnsi="宋体" w:cs="宋体"/>
                      <w:b/>
                      <w:bCs/>
                      <w:color w:val="auto"/>
                      <w:szCs w:val="21"/>
                      <w:highlight w:val="none"/>
                    </w:rPr>
                  </w:pPr>
                  <w:r>
                    <w:rPr>
                      <w:rFonts w:hint="eastAsia" w:ascii="宋体" w:hAnsi="宋体" w:cs="宋体"/>
                      <w:b/>
                      <w:bCs/>
                      <w:color w:val="auto"/>
                      <w:szCs w:val="21"/>
                      <w:highlight w:val="none"/>
                      <w:lang w:bidi="ar"/>
                    </w:rPr>
                    <w:t>3</w:t>
                  </w:r>
                </w:p>
              </w:tc>
              <w:tc>
                <w:tcPr>
                  <w:tcW w:w="996" w:type="pct"/>
                  <w:shd w:val="clear" w:color="auto" w:fill="auto"/>
                  <w:vAlign w:val="center"/>
                </w:tcPr>
                <w:p>
                  <w:pPr>
                    <w:spacing w:line="440" w:lineRule="exact"/>
                    <w:textAlignment w:val="center"/>
                    <w:rPr>
                      <w:rFonts w:ascii="宋体" w:hAnsi="宋体" w:cs="宋体"/>
                      <w:b/>
                      <w:bCs/>
                      <w:color w:val="auto"/>
                      <w:szCs w:val="21"/>
                      <w:highlight w:val="none"/>
                    </w:rPr>
                  </w:pPr>
                  <w:r>
                    <w:rPr>
                      <w:rFonts w:hint="eastAsia" w:ascii="宋体" w:hAnsi="宋体" w:cs="宋体"/>
                      <w:b/>
                      <w:bCs/>
                      <w:color w:val="auto"/>
                      <w:szCs w:val="21"/>
                      <w:highlight w:val="none"/>
                      <w:lang w:bidi="ar"/>
                    </w:rPr>
                    <w:t>功能维护与优化服务</w:t>
                  </w:r>
                </w:p>
              </w:tc>
              <w:tc>
                <w:tcPr>
                  <w:tcW w:w="3582" w:type="pct"/>
                  <w:shd w:val="clear" w:color="auto" w:fill="auto"/>
                  <w:vAlign w:val="center"/>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shd w:val="clear" w:color="auto" w:fill="auto"/>
                  <w:vAlign w:val="center"/>
                </w:tcPr>
                <w:p>
                  <w:pPr>
                    <w:spacing w:line="4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3.1</w:t>
                  </w:r>
                </w:p>
              </w:tc>
              <w:tc>
                <w:tcPr>
                  <w:tcW w:w="996"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系统对接服务</w:t>
                  </w: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根据用户需求，提供系统接口对接服务。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restart"/>
                  <w:shd w:val="clear" w:color="auto" w:fill="auto"/>
                  <w:vAlign w:val="center"/>
                </w:tcPr>
                <w:p>
                  <w:pPr>
                    <w:spacing w:line="4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3.2</w:t>
                  </w:r>
                </w:p>
              </w:tc>
              <w:tc>
                <w:tcPr>
                  <w:tcW w:w="996" w:type="pct"/>
                  <w:vMerge w:val="restar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系统调优服务</w:t>
                  </w: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（1）根据用户需要，对界面、模块、流程等进行优化、调整。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（2）根据业务功能需要，增加公文流程模板的定制开发。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（3）进一步完善优化系统，动态调整现有流程实际使用的情况。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rPr>
                    <w:t>（4）定期进行安全漏洞扫描和修复。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shd w:val="clear" w:color="auto" w:fill="auto"/>
                  <w:vAlign w:val="center"/>
                </w:tcPr>
                <w:p>
                  <w:pPr>
                    <w:spacing w:line="4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3.3</w:t>
                  </w:r>
                </w:p>
              </w:tc>
              <w:tc>
                <w:tcPr>
                  <w:tcW w:w="996"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业务公文处理服务</w:t>
                  </w: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完成对公文日常的流转维护，对公文实例的挂起、恢复、结束、唤醒、删除以及工作项状态的管理，根据用户需求进行调整。完成公文映射增加、删除、修改的管理。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shd w:val="clear" w:color="auto" w:fill="auto"/>
                  <w:vAlign w:val="center"/>
                </w:tcPr>
                <w:p>
                  <w:pPr>
                    <w:spacing w:line="4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3.4</w:t>
                  </w:r>
                </w:p>
              </w:tc>
              <w:tc>
                <w:tcPr>
                  <w:tcW w:w="996"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个人事务管理服务</w:t>
                  </w: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根据用户需求，完成对用户个人信息维护、短信设置、消息系统设置、代理授权设置、常用批示语设置等的管理。遵循的技术标准和工作规范。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shd w:val="clear" w:color="auto" w:fill="auto"/>
                  <w:vAlign w:val="center"/>
                </w:tcPr>
                <w:p>
                  <w:pPr>
                    <w:spacing w:line="440" w:lineRule="exact"/>
                    <w:jc w:val="center"/>
                    <w:textAlignment w:val="center"/>
                    <w:rPr>
                      <w:rFonts w:ascii="宋体" w:hAnsi="宋体" w:cs="宋体"/>
                      <w:b/>
                      <w:bCs/>
                      <w:color w:val="auto"/>
                      <w:szCs w:val="21"/>
                      <w:highlight w:val="none"/>
                    </w:rPr>
                  </w:pPr>
                  <w:r>
                    <w:rPr>
                      <w:rFonts w:hint="eastAsia" w:ascii="宋体" w:hAnsi="宋体" w:cs="宋体"/>
                      <w:b/>
                      <w:bCs/>
                      <w:color w:val="auto"/>
                      <w:szCs w:val="21"/>
                      <w:highlight w:val="none"/>
                      <w:lang w:bidi="ar"/>
                    </w:rPr>
                    <w:t>4</w:t>
                  </w:r>
                </w:p>
              </w:tc>
              <w:tc>
                <w:tcPr>
                  <w:tcW w:w="996" w:type="pct"/>
                  <w:shd w:val="clear" w:color="auto" w:fill="auto"/>
                  <w:vAlign w:val="center"/>
                </w:tcPr>
                <w:p>
                  <w:pPr>
                    <w:spacing w:line="440" w:lineRule="exact"/>
                    <w:textAlignment w:val="center"/>
                    <w:rPr>
                      <w:rFonts w:ascii="宋体" w:hAnsi="宋体" w:cs="宋体"/>
                      <w:b/>
                      <w:bCs/>
                      <w:color w:val="auto"/>
                      <w:szCs w:val="21"/>
                      <w:highlight w:val="none"/>
                    </w:rPr>
                  </w:pPr>
                  <w:r>
                    <w:rPr>
                      <w:rFonts w:hint="eastAsia" w:ascii="宋体" w:hAnsi="宋体" w:cs="宋体"/>
                      <w:b/>
                      <w:bCs/>
                      <w:color w:val="auto"/>
                      <w:szCs w:val="21"/>
                      <w:highlight w:val="none"/>
                      <w:lang w:bidi="ar"/>
                    </w:rPr>
                    <w:t>服务期限</w:t>
                  </w: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提供运维服务一年。</w:t>
                  </w:r>
                </w:p>
              </w:tc>
            </w:tr>
          </w:tbl>
          <w:p>
            <w:pPr>
              <w:spacing w:line="440" w:lineRule="exact"/>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851" w:type="dxa"/>
            <w:gridSpan w:val="6"/>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color w:val="auto"/>
                <w:szCs w:val="21"/>
                <w:highlight w:val="none"/>
              </w:rPr>
            </w:pPr>
            <w:r>
              <w:rPr>
                <w:rFonts w:hint="eastAsia" w:ascii="宋体" w:hAnsi="宋体" w:cs="宋体"/>
                <w:b/>
                <w:color w:val="auto"/>
                <w:szCs w:val="21"/>
                <w:highlight w:val="none"/>
              </w:rPr>
              <w:t>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355" w:type="dxa"/>
            <w:gridSpan w:val="3"/>
            <w:tcBorders>
              <w:top w:val="single" w:color="auto" w:sz="4" w:space="0"/>
              <w:left w:val="single" w:color="auto" w:sz="4" w:space="0"/>
              <w:bottom w:val="single" w:color="auto" w:sz="4" w:space="0"/>
              <w:right w:val="single" w:color="auto" w:sz="4" w:space="0"/>
            </w:tcBorders>
          </w:tcPr>
          <w:p>
            <w:pPr>
              <w:pStyle w:val="207"/>
              <w:spacing w:line="440" w:lineRule="exact"/>
              <w:ind w:left="0" w:right="0"/>
              <w:jc w:val="center"/>
              <w:rPr>
                <w:color w:val="auto"/>
                <w:sz w:val="21"/>
                <w:szCs w:val="21"/>
                <w:highlight w:val="none"/>
              </w:rPr>
            </w:pPr>
          </w:p>
          <w:p>
            <w:pPr>
              <w:pStyle w:val="207"/>
              <w:spacing w:line="440" w:lineRule="exact"/>
              <w:ind w:left="0" w:right="0"/>
              <w:jc w:val="center"/>
              <w:rPr>
                <w:color w:val="auto"/>
                <w:sz w:val="21"/>
                <w:szCs w:val="21"/>
                <w:highlight w:val="none"/>
              </w:rPr>
            </w:pPr>
          </w:p>
          <w:p>
            <w:pPr>
              <w:pStyle w:val="207"/>
              <w:spacing w:line="440" w:lineRule="exact"/>
              <w:ind w:left="0" w:right="0"/>
              <w:jc w:val="center"/>
              <w:rPr>
                <w:b/>
                <w:color w:val="auto"/>
                <w:sz w:val="21"/>
                <w:szCs w:val="21"/>
                <w:highlight w:val="none"/>
              </w:rPr>
            </w:pPr>
            <w:r>
              <w:rPr>
                <w:rFonts w:hint="eastAsia"/>
                <w:color w:val="auto"/>
                <w:spacing w:val="-2"/>
                <w:sz w:val="21"/>
                <w:szCs w:val="21"/>
                <w:highlight w:val="none"/>
              </w:rPr>
              <w:t>▲磋商报价要</w:t>
            </w:r>
            <w:r>
              <w:rPr>
                <w:rFonts w:hint="eastAsia"/>
                <w:color w:val="auto"/>
                <w:spacing w:val="-10"/>
                <w:sz w:val="21"/>
                <w:szCs w:val="21"/>
                <w:highlight w:val="none"/>
              </w:rPr>
              <w:t>求</w:t>
            </w:r>
          </w:p>
        </w:tc>
        <w:tc>
          <w:tcPr>
            <w:tcW w:w="8496" w:type="dxa"/>
            <w:gridSpan w:val="3"/>
            <w:tcBorders>
              <w:top w:val="single" w:color="auto" w:sz="4" w:space="0"/>
              <w:left w:val="single" w:color="auto" w:sz="4" w:space="0"/>
              <w:bottom w:val="single" w:color="auto" w:sz="4" w:space="0"/>
              <w:right w:val="single" w:color="auto" w:sz="4" w:space="0"/>
            </w:tcBorders>
          </w:tcPr>
          <w:p>
            <w:pPr>
              <w:pStyle w:val="207"/>
              <w:spacing w:line="440" w:lineRule="exact"/>
              <w:ind w:left="0" w:right="0"/>
              <w:rPr>
                <w:color w:val="auto"/>
                <w:spacing w:val="-5"/>
                <w:sz w:val="21"/>
                <w:szCs w:val="21"/>
                <w:highlight w:val="none"/>
                <w:lang w:eastAsia="zh-CN"/>
              </w:rPr>
            </w:pPr>
            <w:r>
              <w:rPr>
                <w:rFonts w:hint="eastAsia"/>
                <w:color w:val="auto"/>
                <w:spacing w:val="-2"/>
                <w:sz w:val="21"/>
                <w:szCs w:val="21"/>
                <w:highlight w:val="none"/>
                <w:lang w:eastAsia="zh-CN"/>
              </w:rPr>
              <w:t>报价必须含以下部分，包括（但不限于</w:t>
            </w:r>
            <w:r>
              <w:rPr>
                <w:rFonts w:hint="eastAsia"/>
                <w:color w:val="auto"/>
                <w:spacing w:val="-5"/>
                <w:sz w:val="21"/>
                <w:szCs w:val="21"/>
                <w:highlight w:val="none"/>
                <w:lang w:eastAsia="zh-CN"/>
              </w:rPr>
              <w:t>）：</w:t>
            </w:r>
          </w:p>
          <w:p>
            <w:pPr>
              <w:pStyle w:val="207"/>
              <w:spacing w:line="440" w:lineRule="exact"/>
              <w:ind w:left="0" w:right="0"/>
              <w:rPr>
                <w:color w:val="auto"/>
                <w:sz w:val="21"/>
                <w:szCs w:val="21"/>
                <w:highlight w:val="none"/>
                <w:lang w:eastAsia="zh-CN"/>
              </w:rPr>
            </w:pPr>
            <w:r>
              <w:rPr>
                <w:rFonts w:hint="eastAsia"/>
                <w:color w:val="auto"/>
                <w:spacing w:val="-4"/>
                <w:sz w:val="21"/>
                <w:szCs w:val="21"/>
                <w:highlight w:val="none"/>
                <w:lang w:eastAsia="zh-CN"/>
              </w:rPr>
              <w:t>本项目磋商报价为总额报价，即一次性报出本项目服务所需的所有费用，含技术服</w:t>
            </w:r>
            <w:r>
              <w:rPr>
                <w:rFonts w:hint="eastAsia"/>
                <w:color w:val="auto"/>
                <w:spacing w:val="-7"/>
                <w:sz w:val="21"/>
                <w:szCs w:val="21"/>
                <w:highlight w:val="none"/>
                <w:lang w:eastAsia="zh-CN"/>
              </w:rPr>
              <w:t>务、派出工作人员的交通费、住宿费、伙食补助费、必要的保险费用和各项税金、其他</w:t>
            </w:r>
            <w:r>
              <w:rPr>
                <w:rFonts w:hint="eastAsia"/>
                <w:color w:val="auto"/>
                <w:spacing w:val="-6"/>
                <w:sz w:val="21"/>
                <w:szCs w:val="21"/>
                <w:highlight w:val="none"/>
                <w:lang w:eastAsia="zh-CN"/>
              </w:rPr>
              <w:t>（如运输、装卸、安装、调试、培训、技术支持、服务保障方案、更新升级等）</w:t>
            </w:r>
            <w:r>
              <w:rPr>
                <w:rFonts w:hint="eastAsia"/>
                <w:color w:val="auto"/>
                <w:spacing w:val="-8"/>
                <w:sz w:val="21"/>
                <w:szCs w:val="21"/>
                <w:highlight w:val="none"/>
                <w:lang w:eastAsia="zh-CN"/>
              </w:rPr>
              <w:t>有关的</w:t>
            </w:r>
            <w:r>
              <w:rPr>
                <w:rFonts w:hint="eastAsia"/>
                <w:color w:val="auto"/>
                <w:spacing w:val="-3"/>
                <w:sz w:val="21"/>
                <w:szCs w:val="21"/>
                <w:highlight w:val="none"/>
                <w:lang w:eastAsia="zh-CN"/>
              </w:rPr>
              <w:t>费用。本项目至验收合格，采购人不另支付任何费用。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7" w:hRule="atLeast"/>
          <w:jc w:val="center"/>
        </w:trPr>
        <w:tc>
          <w:tcPr>
            <w:tcW w:w="2355" w:type="dxa"/>
            <w:gridSpan w:val="3"/>
            <w:tcBorders>
              <w:top w:val="single" w:color="auto" w:sz="4" w:space="0"/>
              <w:left w:val="single" w:color="auto" w:sz="4" w:space="0"/>
              <w:bottom w:val="single" w:color="auto" w:sz="4" w:space="0"/>
              <w:right w:val="single" w:color="auto" w:sz="4" w:space="0"/>
            </w:tcBorders>
          </w:tcPr>
          <w:p>
            <w:pPr>
              <w:pStyle w:val="207"/>
              <w:spacing w:line="440" w:lineRule="exact"/>
              <w:ind w:left="0" w:right="0"/>
              <w:jc w:val="center"/>
              <w:rPr>
                <w:color w:val="auto"/>
                <w:sz w:val="21"/>
                <w:szCs w:val="21"/>
                <w:highlight w:val="none"/>
                <w:lang w:eastAsia="zh-CN"/>
              </w:rPr>
            </w:pPr>
            <w:r>
              <w:rPr>
                <w:rFonts w:hint="eastAsia"/>
                <w:color w:val="auto"/>
                <w:spacing w:val="-4"/>
                <w:sz w:val="21"/>
                <w:szCs w:val="21"/>
                <w:highlight w:val="none"/>
                <w:lang w:eastAsia="zh-CN"/>
              </w:rPr>
              <w:t>▲合同履行期</w:t>
            </w:r>
          </w:p>
          <w:p>
            <w:pPr>
              <w:pStyle w:val="207"/>
              <w:spacing w:line="440" w:lineRule="exact"/>
              <w:ind w:left="0" w:right="0"/>
              <w:jc w:val="center"/>
              <w:rPr>
                <w:b/>
                <w:color w:val="auto"/>
                <w:sz w:val="21"/>
                <w:szCs w:val="21"/>
                <w:highlight w:val="none"/>
                <w:lang w:eastAsia="zh-CN"/>
              </w:rPr>
            </w:pPr>
            <w:r>
              <w:rPr>
                <w:rFonts w:hint="eastAsia"/>
                <w:color w:val="auto"/>
                <w:spacing w:val="-7"/>
                <w:sz w:val="21"/>
                <w:szCs w:val="21"/>
                <w:highlight w:val="none"/>
                <w:lang w:eastAsia="zh-CN"/>
              </w:rPr>
              <w:t>限、地点</w:t>
            </w:r>
          </w:p>
        </w:tc>
        <w:tc>
          <w:tcPr>
            <w:tcW w:w="8496" w:type="dxa"/>
            <w:gridSpan w:val="3"/>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color w:val="auto"/>
                <w:szCs w:val="21"/>
                <w:highlight w:val="none"/>
              </w:rPr>
            </w:pPr>
            <w:r>
              <w:rPr>
                <w:rFonts w:hint="eastAsia" w:ascii="宋体" w:hAnsi="宋体" w:cs="宋体"/>
                <w:color w:val="auto"/>
                <w:szCs w:val="21"/>
                <w:highlight w:val="none"/>
              </w:rPr>
              <w:t>合同履行期限：自合同签订之日起一年。</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地点：广西区内采购人指定地点。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355" w:type="dxa"/>
            <w:gridSpan w:val="3"/>
            <w:tcBorders>
              <w:top w:val="single" w:color="auto" w:sz="4" w:space="0"/>
              <w:left w:val="single" w:color="auto" w:sz="4" w:space="0"/>
              <w:bottom w:val="single" w:color="auto" w:sz="4" w:space="0"/>
              <w:right w:val="single" w:color="auto" w:sz="4" w:space="0"/>
            </w:tcBorders>
          </w:tcPr>
          <w:p>
            <w:pPr>
              <w:pStyle w:val="207"/>
              <w:spacing w:line="440" w:lineRule="exact"/>
              <w:ind w:left="0" w:right="0"/>
              <w:jc w:val="center"/>
              <w:rPr>
                <w:color w:val="auto"/>
                <w:sz w:val="21"/>
                <w:szCs w:val="21"/>
                <w:highlight w:val="none"/>
                <w:lang w:eastAsia="zh-CN"/>
              </w:rPr>
            </w:pPr>
          </w:p>
          <w:p>
            <w:pPr>
              <w:pStyle w:val="207"/>
              <w:spacing w:line="440" w:lineRule="exact"/>
              <w:ind w:left="0" w:right="0"/>
              <w:jc w:val="center"/>
              <w:rPr>
                <w:color w:val="auto"/>
                <w:sz w:val="21"/>
                <w:szCs w:val="21"/>
                <w:highlight w:val="none"/>
                <w:lang w:eastAsia="zh-CN"/>
              </w:rPr>
            </w:pPr>
          </w:p>
          <w:p>
            <w:pPr>
              <w:pStyle w:val="207"/>
              <w:spacing w:line="440" w:lineRule="exact"/>
              <w:ind w:left="0" w:right="0"/>
              <w:jc w:val="center"/>
              <w:rPr>
                <w:b/>
                <w:color w:val="auto"/>
                <w:sz w:val="21"/>
                <w:szCs w:val="21"/>
                <w:highlight w:val="none"/>
              </w:rPr>
            </w:pPr>
            <w:r>
              <w:rPr>
                <w:rFonts w:hint="eastAsia"/>
                <w:color w:val="auto"/>
                <w:spacing w:val="-6"/>
                <w:sz w:val="21"/>
                <w:szCs w:val="21"/>
                <w:highlight w:val="none"/>
              </w:rPr>
              <w:t>▲付款条件</w:t>
            </w:r>
          </w:p>
        </w:tc>
        <w:tc>
          <w:tcPr>
            <w:tcW w:w="8496" w:type="dxa"/>
            <w:gridSpan w:val="3"/>
            <w:tcBorders>
              <w:top w:val="single" w:color="auto" w:sz="4" w:space="0"/>
              <w:left w:val="single" w:color="auto" w:sz="4" w:space="0"/>
              <w:bottom w:val="single" w:color="auto" w:sz="4" w:space="0"/>
              <w:right w:val="single" w:color="auto" w:sz="4" w:space="0"/>
            </w:tcBorders>
          </w:tcPr>
          <w:p>
            <w:pPr>
              <w:pStyle w:val="207"/>
              <w:spacing w:line="440" w:lineRule="exact"/>
              <w:ind w:left="0" w:right="0"/>
              <w:jc w:val="both"/>
              <w:rPr>
                <w:b/>
                <w:color w:val="auto"/>
                <w:sz w:val="21"/>
                <w:szCs w:val="21"/>
                <w:highlight w:val="none"/>
                <w:lang w:eastAsia="zh-CN"/>
              </w:rPr>
            </w:pPr>
            <w:r>
              <w:rPr>
                <w:rFonts w:hint="eastAsia"/>
                <w:color w:val="auto"/>
                <w:sz w:val="21"/>
                <w:szCs w:val="21"/>
                <w:highlight w:val="none"/>
                <w:lang w:eastAsia="zh-CN"/>
              </w:rPr>
              <w:t>自签订合同，供应商提供运维服务后，10</w:t>
            </w:r>
            <w:r>
              <w:rPr>
                <w:rFonts w:hint="eastAsia"/>
                <w:color w:val="auto"/>
                <w:spacing w:val="-3"/>
                <w:sz w:val="21"/>
                <w:szCs w:val="21"/>
                <w:highlight w:val="none"/>
                <w:lang w:eastAsia="zh-CN"/>
              </w:rPr>
              <w:t>个工作日内，采购人支付</w:t>
            </w:r>
            <w:r>
              <w:rPr>
                <w:rFonts w:hint="eastAsia"/>
                <w:color w:val="auto"/>
                <w:sz w:val="21"/>
                <w:szCs w:val="21"/>
                <w:highlight w:val="none"/>
                <w:lang w:eastAsia="zh-CN"/>
              </w:rPr>
              <w:t>30%的合同款给成交供应商，提供实施服务并取得运维成果后采购人支付50%的合同款给成交供应商。完成项目验收</w:t>
            </w:r>
            <w:r>
              <w:rPr>
                <w:rFonts w:hint="eastAsia"/>
                <w:color w:val="auto"/>
                <w:spacing w:val="-3"/>
                <w:sz w:val="21"/>
                <w:szCs w:val="21"/>
                <w:highlight w:val="none"/>
                <w:lang w:eastAsia="zh-CN"/>
              </w:rPr>
              <w:t>后，采购人支付合同金额</w:t>
            </w:r>
            <w:r>
              <w:rPr>
                <w:rFonts w:hint="eastAsia"/>
                <w:color w:val="auto"/>
                <w:sz w:val="21"/>
                <w:szCs w:val="21"/>
                <w:highlight w:val="none"/>
                <w:lang w:eastAsia="zh-CN"/>
              </w:rPr>
              <w:t>20%</w:t>
            </w:r>
            <w:r>
              <w:rPr>
                <w:rFonts w:hint="eastAsia"/>
                <w:color w:val="auto"/>
                <w:spacing w:val="-1"/>
                <w:sz w:val="21"/>
                <w:szCs w:val="21"/>
                <w:highlight w:val="none"/>
                <w:lang w:eastAsia="zh-CN"/>
              </w:rPr>
              <w:t>合同款给成交供应商，供应商自收到</w:t>
            </w:r>
            <w:r>
              <w:rPr>
                <w:rFonts w:hint="eastAsia"/>
                <w:color w:val="auto"/>
                <w:spacing w:val="-9"/>
                <w:sz w:val="21"/>
                <w:szCs w:val="21"/>
                <w:highlight w:val="none"/>
                <w:lang w:eastAsia="zh-CN"/>
              </w:rPr>
              <w:t>合同款之日起</w:t>
            </w:r>
            <w:r>
              <w:rPr>
                <w:rFonts w:hint="eastAsia"/>
                <w:color w:val="auto"/>
                <w:spacing w:val="-2"/>
                <w:sz w:val="21"/>
                <w:szCs w:val="21"/>
                <w:highlight w:val="none"/>
                <w:lang w:eastAsia="zh-CN"/>
              </w:rPr>
              <w:t>10</w:t>
            </w:r>
            <w:r>
              <w:rPr>
                <w:rFonts w:hint="eastAsia"/>
                <w:color w:val="auto"/>
                <w:spacing w:val="-3"/>
                <w:sz w:val="21"/>
                <w:szCs w:val="21"/>
                <w:highlight w:val="none"/>
                <w:lang w:eastAsia="zh-CN"/>
              </w:rPr>
              <w:t>个工作日内开具发票给采购人。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355" w:type="dxa"/>
            <w:gridSpan w:val="3"/>
            <w:tcBorders>
              <w:top w:val="single" w:color="auto" w:sz="4" w:space="0"/>
              <w:left w:val="single" w:color="auto" w:sz="4" w:space="0"/>
              <w:bottom w:val="single" w:color="auto" w:sz="4" w:space="0"/>
              <w:right w:val="single" w:color="auto" w:sz="4" w:space="0"/>
            </w:tcBorders>
          </w:tcPr>
          <w:p>
            <w:pPr>
              <w:pStyle w:val="207"/>
              <w:spacing w:line="440" w:lineRule="exact"/>
              <w:ind w:left="0" w:right="0"/>
              <w:jc w:val="center"/>
              <w:rPr>
                <w:color w:val="auto"/>
                <w:sz w:val="21"/>
                <w:szCs w:val="21"/>
                <w:highlight w:val="none"/>
                <w:lang w:eastAsia="zh-CN"/>
              </w:rPr>
            </w:pPr>
          </w:p>
          <w:p>
            <w:pPr>
              <w:pStyle w:val="207"/>
              <w:spacing w:line="440" w:lineRule="exact"/>
              <w:ind w:left="0" w:right="0"/>
              <w:jc w:val="center"/>
              <w:rPr>
                <w:color w:val="auto"/>
                <w:sz w:val="21"/>
                <w:szCs w:val="21"/>
                <w:highlight w:val="none"/>
                <w:lang w:eastAsia="zh-CN"/>
              </w:rPr>
            </w:pPr>
          </w:p>
          <w:p>
            <w:pPr>
              <w:pStyle w:val="207"/>
              <w:spacing w:line="440" w:lineRule="exact"/>
              <w:ind w:left="0" w:right="0"/>
              <w:jc w:val="center"/>
              <w:rPr>
                <w:color w:val="auto"/>
                <w:sz w:val="21"/>
                <w:szCs w:val="21"/>
                <w:highlight w:val="none"/>
                <w:lang w:eastAsia="zh-CN"/>
              </w:rPr>
            </w:pPr>
          </w:p>
          <w:p>
            <w:pPr>
              <w:pStyle w:val="207"/>
              <w:spacing w:line="440" w:lineRule="exact"/>
              <w:ind w:left="0" w:right="0"/>
              <w:jc w:val="center"/>
              <w:rPr>
                <w:b/>
                <w:color w:val="auto"/>
                <w:sz w:val="21"/>
                <w:szCs w:val="21"/>
                <w:highlight w:val="none"/>
              </w:rPr>
            </w:pPr>
            <w:r>
              <w:rPr>
                <w:rFonts w:hint="eastAsia"/>
                <w:color w:val="auto"/>
                <w:spacing w:val="-2"/>
                <w:sz w:val="21"/>
                <w:szCs w:val="21"/>
                <w:highlight w:val="none"/>
              </w:rPr>
              <w:t>▲服务保障方</w:t>
            </w:r>
            <w:r>
              <w:rPr>
                <w:rFonts w:hint="eastAsia"/>
                <w:color w:val="auto"/>
                <w:spacing w:val="-4"/>
                <w:sz w:val="21"/>
                <w:szCs w:val="21"/>
                <w:highlight w:val="none"/>
              </w:rPr>
              <w:t>案要求</w:t>
            </w:r>
          </w:p>
        </w:tc>
        <w:tc>
          <w:tcPr>
            <w:tcW w:w="8496" w:type="dxa"/>
            <w:gridSpan w:val="3"/>
            <w:tcBorders>
              <w:top w:val="single" w:color="auto" w:sz="4" w:space="0"/>
              <w:left w:val="single" w:color="auto" w:sz="4" w:space="0"/>
              <w:bottom w:val="single" w:color="auto" w:sz="4" w:space="0"/>
              <w:right w:val="single" w:color="auto" w:sz="4" w:space="0"/>
            </w:tcBorders>
          </w:tcPr>
          <w:p>
            <w:pPr>
              <w:pStyle w:val="207"/>
              <w:spacing w:line="440" w:lineRule="exact"/>
              <w:ind w:left="0" w:right="0"/>
              <w:rPr>
                <w:color w:val="auto"/>
                <w:sz w:val="21"/>
                <w:szCs w:val="21"/>
                <w:highlight w:val="none"/>
                <w:lang w:eastAsia="zh-CN"/>
              </w:rPr>
            </w:pPr>
            <w:r>
              <w:rPr>
                <w:rFonts w:hint="eastAsia"/>
                <w:color w:val="auto"/>
                <w:spacing w:val="-2"/>
                <w:sz w:val="21"/>
                <w:szCs w:val="21"/>
                <w:highlight w:val="none"/>
                <w:lang w:eastAsia="zh-CN"/>
              </w:rPr>
              <w:t>1、成交供应商在服务期限内对用户提出的合理的，不涉及架构及全局性的功能增减、美工修改等应配合实施。</w:t>
            </w:r>
          </w:p>
          <w:p>
            <w:pPr>
              <w:pStyle w:val="207"/>
              <w:spacing w:line="440" w:lineRule="exact"/>
              <w:ind w:left="0" w:right="0"/>
              <w:rPr>
                <w:color w:val="auto"/>
                <w:sz w:val="21"/>
                <w:szCs w:val="21"/>
                <w:highlight w:val="none"/>
                <w:lang w:eastAsia="zh-CN"/>
              </w:rPr>
            </w:pPr>
            <w:r>
              <w:rPr>
                <w:rFonts w:hint="eastAsia"/>
                <w:color w:val="auto"/>
                <w:spacing w:val="-2"/>
                <w:sz w:val="21"/>
                <w:szCs w:val="21"/>
                <w:highlight w:val="none"/>
                <w:lang w:eastAsia="zh-CN"/>
              </w:rPr>
              <w:t>2</w:t>
            </w:r>
            <w:r>
              <w:rPr>
                <w:rFonts w:hint="eastAsia"/>
                <w:color w:val="auto"/>
                <w:spacing w:val="-3"/>
                <w:sz w:val="21"/>
                <w:szCs w:val="21"/>
                <w:highlight w:val="none"/>
                <w:lang w:eastAsia="zh-CN"/>
              </w:rPr>
              <w:t>、送货上门、安装调试至设备到最佳状态、培训操作人员。</w:t>
            </w:r>
          </w:p>
          <w:p>
            <w:pPr>
              <w:pStyle w:val="207"/>
              <w:spacing w:line="440" w:lineRule="exact"/>
              <w:ind w:left="0" w:right="0"/>
              <w:rPr>
                <w:color w:val="auto"/>
                <w:sz w:val="21"/>
                <w:szCs w:val="21"/>
                <w:highlight w:val="none"/>
                <w:lang w:eastAsia="zh-CN"/>
              </w:rPr>
            </w:pPr>
            <w:r>
              <w:rPr>
                <w:rFonts w:hint="eastAsia"/>
                <w:color w:val="auto"/>
                <w:spacing w:val="-2"/>
                <w:sz w:val="21"/>
                <w:szCs w:val="21"/>
                <w:highlight w:val="none"/>
                <w:lang w:eastAsia="zh-CN"/>
              </w:rPr>
              <w:t>3、维护响应：成交供应商在接到用户电话后1小时内响应，1小时内到达现场修理解决，24小时内恢复正常使用，若不能修复则应有合理应对方案。</w:t>
            </w:r>
          </w:p>
          <w:p>
            <w:pPr>
              <w:pStyle w:val="207"/>
              <w:spacing w:line="440" w:lineRule="exact"/>
              <w:ind w:left="0" w:right="0"/>
              <w:rPr>
                <w:color w:val="auto"/>
                <w:kern w:val="2"/>
                <w:sz w:val="21"/>
                <w:szCs w:val="21"/>
                <w:highlight w:val="none"/>
                <w:lang w:eastAsia="zh-CN"/>
              </w:rPr>
            </w:pPr>
            <w:r>
              <w:rPr>
                <w:rFonts w:hint="eastAsia"/>
                <w:color w:val="auto"/>
                <w:spacing w:val="-2"/>
                <w:sz w:val="21"/>
                <w:szCs w:val="21"/>
                <w:highlight w:val="none"/>
                <w:lang w:eastAsia="zh-CN"/>
              </w:rPr>
              <w:t>4</w:t>
            </w:r>
            <w:r>
              <w:rPr>
                <w:rFonts w:hint="eastAsia"/>
                <w:color w:val="auto"/>
                <w:spacing w:val="-3"/>
                <w:sz w:val="21"/>
                <w:szCs w:val="21"/>
                <w:highlight w:val="none"/>
                <w:lang w:eastAsia="zh-CN"/>
              </w:rPr>
              <w:t>、成交供应商除承担运输、安装、调试、验收与培训等义务外，还将为采购人提供技术支持，包括维护期外的技术服务及技术指导等。</w:t>
            </w:r>
          </w:p>
        </w:tc>
      </w:tr>
    </w:tbl>
    <w:p>
      <w:pPr>
        <w:pStyle w:val="19"/>
        <w:spacing w:line="440" w:lineRule="exact"/>
        <w:rPr>
          <w:rFonts w:ascii="宋体" w:hAnsi="宋体" w:cs="宋体"/>
          <w:b/>
          <w:color w:val="auto"/>
          <w:sz w:val="24"/>
          <w:highlight w:val="none"/>
        </w:rPr>
        <w:sectPr>
          <w:pgSz w:w="11906" w:h="16838"/>
          <w:pgMar w:top="1134" w:right="1247" w:bottom="1134" w:left="1247" w:header="851" w:footer="992" w:gutter="0"/>
          <w:cols w:space="720" w:num="1"/>
          <w:docGrid w:linePitch="312" w:charSpace="0"/>
        </w:sectPr>
      </w:pPr>
    </w:p>
    <w:p>
      <w:pPr>
        <w:pStyle w:val="5"/>
        <w:spacing w:before="0" w:after="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标项三</w:t>
      </w:r>
    </w:p>
    <w:tbl>
      <w:tblPr>
        <w:tblStyle w:val="41"/>
        <w:tblW w:w="105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445"/>
        <w:gridCol w:w="68"/>
        <w:gridCol w:w="934"/>
        <w:gridCol w:w="666"/>
        <w:gridCol w:w="6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655" w:type="dxa"/>
            <w:vAlign w:val="center"/>
          </w:tcPr>
          <w:p>
            <w:pPr>
              <w:tabs>
                <w:tab w:val="left" w:pos="180"/>
                <w:tab w:val="left" w:pos="1620"/>
              </w:tabs>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513" w:type="dxa"/>
            <w:gridSpan w:val="2"/>
            <w:vAlign w:val="center"/>
          </w:tcPr>
          <w:p>
            <w:pPr>
              <w:tabs>
                <w:tab w:val="left" w:pos="180"/>
                <w:tab w:val="left" w:pos="1620"/>
              </w:tabs>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标的名称</w:t>
            </w:r>
          </w:p>
        </w:tc>
        <w:tc>
          <w:tcPr>
            <w:tcW w:w="934" w:type="dxa"/>
            <w:vAlign w:val="center"/>
          </w:tcPr>
          <w:p>
            <w:pPr>
              <w:tabs>
                <w:tab w:val="left" w:pos="180"/>
                <w:tab w:val="left" w:pos="1620"/>
              </w:tabs>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数量及单位</w:t>
            </w:r>
          </w:p>
        </w:tc>
        <w:tc>
          <w:tcPr>
            <w:tcW w:w="666" w:type="dxa"/>
            <w:vAlign w:val="center"/>
          </w:tcPr>
          <w:p>
            <w:pPr>
              <w:tabs>
                <w:tab w:val="left" w:pos="180"/>
                <w:tab w:val="left" w:pos="1620"/>
              </w:tabs>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所属</w:t>
            </w:r>
          </w:p>
          <w:p>
            <w:pPr>
              <w:tabs>
                <w:tab w:val="left" w:pos="180"/>
                <w:tab w:val="left" w:pos="1620"/>
              </w:tabs>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行业</w:t>
            </w:r>
          </w:p>
        </w:tc>
        <w:tc>
          <w:tcPr>
            <w:tcW w:w="6828" w:type="dxa"/>
            <w:vAlign w:val="center"/>
          </w:tcPr>
          <w:p>
            <w:pPr>
              <w:tabs>
                <w:tab w:val="left" w:pos="180"/>
                <w:tab w:val="left" w:pos="1620"/>
              </w:tabs>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655" w:type="dxa"/>
            <w:vAlign w:val="center"/>
          </w:tcPr>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513" w:type="dxa"/>
            <w:gridSpan w:val="2"/>
            <w:vAlign w:val="center"/>
          </w:tcPr>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广西农产品产销价格监测预警系统运维及数据采集服务</w:t>
            </w:r>
          </w:p>
        </w:tc>
        <w:tc>
          <w:tcPr>
            <w:tcW w:w="934" w:type="dxa"/>
            <w:vAlign w:val="center"/>
          </w:tcPr>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666" w:type="dxa"/>
            <w:vAlign w:val="center"/>
          </w:tcPr>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软件和信息技术服务业</w:t>
            </w:r>
          </w:p>
        </w:tc>
        <w:tc>
          <w:tcPr>
            <w:tcW w:w="6828" w:type="dxa"/>
            <w:vAlign w:val="center"/>
          </w:tcPr>
          <w:p>
            <w:pPr>
              <w:spacing w:line="440" w:lineRule="exact"/>
              <w:ind w:firstLine="420" w:firstLineChars="200"/>
              <w:jc w:val="left"/>
              <w:rPr>
                <w:rFonts w:ascii="宋体" w:hAnsi="宋体" w:cs="宋体"/>
                <w:color w:val="auto"/>
                <w:szCs w:val="21"/>
                <w:highlight w:val="none"/>
              </w:rPr>
            </w:pPr>
            <w:bookmarkStart w:id="32" w:name="OLE_LINK61"/>
            <w:r>
              <w:rPr>
                <w:rFonts w:hint="eastAsia" w:ascii="宋体" w:hAnsi="宋体" w:cs="宋体"/>
                <w:color w:val="auto"/>
                <w:szCs w:val="21"/>
                <w:highlight w:val="none"/>
              </w:rPr>
              <w:t>依据广西农产品产销价格监测预警系统（以下简称系统）技术保障要求，对系统实施运行维护，并提供数据采集服务。</w:t>
            </w:r>
          </w:p>
          <w:p>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一、广西农产品产销价格监测预警系统运行维护服务</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1.每月对系统服务器代码实施备份，并定期对服务器软硬件及网络环境开展监控及维护。</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每周对系统开展例行巡检，重点检查以下内容运行状态是否正常：①服务器设备：硬件设备、操作系统、中间件等；②软件设备：系统环境、数据库环境、系统配套服务等；③安全防护系统等。针对发现的异常和隐患，及时实施系统安全漏洞加固和补丁修补。</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3.每月核查系统数据、文件等服务器资源占用情况，并根据核查结果编制资源分析报告。</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4.每月开展系统安全维护及数据备份工作。数据备份包括系统数据库备份与正文附件备份。</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5.负责系统的补丁更新及测试工作，确保更新顺利进行，保障系统稳定运行。</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6.掌握系统环境和功能，记录服务器及相关设备的配置信息，存档并及时更新变动。</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7.服务器台账记录：所有服务器代码修改、功能调整及配置变更等操作，需记录在台账中。</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8.负责系统微信小程序客户端的维护，确保其平稳运行。</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9.及时解决客户端使用过程中遇到的系统故障。</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10.按照采购方需求，对系统原有功能进行小范围调整及维护，并配合采购方，就新增功能的使用向客户端提供培训及讲解。</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协助</w:t>
            </w:r>
            <w:r>
              <w:rPr>
                <w:rFonts w:hint="eastAsia" w:ascii="宋体" w:hAnsi="宋体" w:cs="宋体"/>
                <w:color w:val="auto"/>
                <w:szCs w:val="21"/>
                <w:highlight w:val="none"/>
                <w:lang w:eastAsia="zh-CN"/>
              </w:rPr>
              <w:t>采购方</w:t>
            </w:r>
            <w:r>
              <w:rPr>
                <w:rFonts w:hint="eastAsia" w:ascii="宋体" w:hAnsi="宋体" w:cs="宋体"/>
                <w:color w:val="auto"/>
                <w:szCs w:val="21"/>
                <w:highlight w:val="none"/>
              </w:rPr>
              <w:t>到各个部门调研需求并提供相应的需求报告，为信息化项目提供咨询服务。</w:t>
            </w:r>
          </w:p>
          <w:p>
            <w:pPr>
              <w:spacing w:line="44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12.按照采购方需求，提供系统环境变更服务，软件重装服务（升级、适配等）。</w:t>
            </w:r>
          </w:p>
          <w:p>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二、广西农产品产销价格监测预警系统数据采集服务</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1.在每月、每季度、每半年、每年结束后的1周内，提供月度、季度、半年度、年度价格文字分析报告，分析报告内容包括蔬菜、水果、食用菌等农产品价格行情、</w:t>
            </w:r>
            <w:r>
              <w:rPr>
                <w:rFonts w:hint="eastAsia" w:ascii="宋体" w:hAnsi="宋体" w:eastAsia="宋体" w:cs="宋体"/>
                <w:i w:val="0"/>
                <w:iCs w:val="0"/>
                <w:color w:val="auto"/>
                <w:kern w:val="0"/>
                <w:sz w:val="20"/>
                <w:szCs w:val="20"/>
                <w:highlight w:val="none"/>
                <w:u w:val="none"/>
                <w:lang w:val="en-US" w:eastAsia="zh-CN" w:bidi="ar"/>
              </w:rPr>
              <w:t>走势分析、</w:t>
            </w:r>
            <w:r>
              <w:rPr>
                <w:rFonts w:hint="eastAsia" w:ascii="宋体" w:hAnsi="宋体" w:cs="宋体"/>
                <w:color w:val="auto"/>
                <w:szCs w:val="21"/>
                <w:highlight w:val="none"/>
              </w:rPr>
              <w:t>预测分析，分析报告要内容详实、分析深入、判断准确。</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2.采集品种、采集点、采集员等信息出现变动时，1个工作日内在系统更新，并且向用户提交更新信息。</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3.每周一下午18:00前、每周四上午12:00前，督促价格采集员完成数据上报工作，每周四下午15:00点前，抽取系统数据，形成报表分析报告</w:t>
            </w:r>
            <w:r>
              <w:rPr>
                <w:rFonts w:hint="eastAsia" w:ascii="宋体" w:hAnsi="宋体" w:cs="宋体"/>
                <w:color w:val="auto"/>
                <w:szCs w:val="21"/>
                <w:highlight w:val="none"/>
                <w:lang w:eastAsia="zh-CN"/>
              </w:rPr>
              <w:t>（</w:t>
            </w:r>
            <w:r>
              <w:rPr>
                <w:rFonts w:hint="default" w:ascii="Times New Roman" w:hAnsi="Times New Roman" w:eastAsia="宋体" w:cs="Times New Roman"/>
                <w:i w:val="0"/>
                <w:iCs w:val="0"/>
                <w:color w:val="auto"/>
                <w:kern w:val="0"/>
                <w:sz w:val="20"/>
                <w:szCs w:val="20"/>
                <w:highlight w:val="none"/>
                <w:u w:val="none"/>
                <w:lang w:val="en-US" w:eastAsia="zh-CN" w:bidi="ar"/>
              </w:rPr>
              <w:t>Excel</w:t>
            </w:r>
            <w:r>
              <w:rPr>
                <w:rFonts w:hint="eastAsia" w:ascii="宋体" w:hAnsi="宋体" w:eastAsia="宋体" w:cs="宋体"/>
                <w:i w:val="0"/>
                <w:iCs w:val="0"/>
                <w:color w:val="auto"/>
                <w:kern w:val="0"/>
                <w:sz w:val="20"/>
                <w:szCs w:val="20"/>
                <w:highlight w:val="none"/>
                <w:u w:val="none"/>
                <w:lang w:val="en-US" w:eastAsia="zh-CN" w:bidi="ar"/>
              </w:rPr>
              <w:t>、</w:t>
            </w:r>
            <w:r>
              <w:rPr>
                <w:rFonts w:hint="default" w:ascii="Times New Roman" w:hAnsi="Times New Roman" w:eastAsia="宋体" w:cs="Times New Roman"/>
                <w:i w:val="0"/>
                <w:iCs w:val="0"/>
                <w:color w:val="auto"/>
                <w:kern w:val="0"/>
                <w:sz w:val="20"/>
                <w:szCs w:val="20"/>
                <w:highlight w:val="none"/>
                <w:u w:val="none"/>
                <w:lang w:val="en-US" w:eastAsia="zh-CN" w:bidi="ar"/>
              </w:rPr>
              <w:t>WPS</w:t>
            </w:r>
            <w:r>
              <w:rPr>
                <w:rFonts w:hint="eastAsia" w:ascii="Times New Roman" w:hAnsi="Times New Roman" w:eastAsia="宋体" w:cs="Times New Roman"/>
                <w:i w:val="0"/>
                <w:iCs w:val="0"/>
                <w:color w:val="auto"/>
                <w:kern w:val="0"/>
                <w:sz w:val="20"/>
                <w:szCs w:val="20"/>
                <w:highlight w:val="none"/>
                <w:u w:val="none"/>
                <w:lang w:val="en-US" w:eastAsia="zh-CN" w:bidi="ar"/>
              </w:rPr>
              <w:t>格式</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4.每月25日发放下月采集任务。每月</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日发放上月采集员劳务费，发放后</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个工作日之内，向用户提供劳务费发放流水等相关票据信息。</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5.按照采购方需求，工作日10分钟响应，非工作日30分钟响应，并按要求提交阶段性价格数据。</w:t>
            </w:r>
          </w:p>
          <w:p>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6.按采购方要求，</w:t>
            </w:r>
            <w:r>
              <w:rPr>
                <w:rFonts w:hint="eastAsia" w:ascii="宋体" w:hAnsi="宋体" w:cs="宋体"/>
                <w:color w:val="auto"/>
                <w:szCs w:val="21"/>
                <w:highlight w:val="none"/>
                <w:lang w:eastAsia="zh-CN"/>
              </w:rPr>
              <w:t>采集以下农作物价格，包括但不限于：</w:t>
            </w:r>
            <w:r>
              <w:rPr>
                <w:rFonts w:hint="eastAsia" w:ascii="宋体" w:hAnsi="宋体" w:cs="宋体"/>
                <w:color w:val="auto"/>
                <w:szCs w:val="21"/>
                <w:highlight w:val="none"/>
              </w:rPr>
              <w:t>蔬菜类：大肉芥菜、大白菜、小白菜、甘兰、芥菜、莴笋、菜心、冬瓜、南瓜、毛节瓜、甜瓜、苦瓜、西瓜、西葫芦、黄瓜、黑皮冬瓜、甜椒、圣女果、番茄、茄子、辣椒、四季豆、豇豆、豌豆、大头菜（鲜品）、淮山、胡萝卜、香葱、芋头、荔浦芋、莲藕、马蹄、大头菜（成品）等。水果类：滑皮金桔、金桔、砂糖桔、脐橙、南丰蜜桔、夏橙、脆皮桔、沃柑、芒果（贵妃）、芒果（桂七）、芒果（台农）、芒果（金煌芒）、葡萄（温克）、葡萄（夏黑）、葡萄（红提）、葡萄（巨峰）、三月红荔枝、黑叶荔枝、白糖荔荔枝、桂味荔枝、贵妃红荔枝、妃子笑荔枝、南局红荔枝、鸡嘴荔枝、禾荔、灵山香荔、桂蕉、粉蕉、威廉斯香蕉、巴西香蕉、火龙果、百香果、龙眼、柿子、水蜜桃、三华李、芙蓉李、奈李、黄花梨、油桃、青枣等。食用菌：云耳、双孢蘑菇、姬菇、平菇、毛木耳、灵芝、秀珍菇、香菇、黑木耳。粮食：早稻、中稻、晚稻、玉米（春种、秋种）、大豆（春种、秋种）。茶类：春茶、夏茶、秋茶、茉莉花茶、白毫白茶、三江绿、昭平绿、福云六号绿茶、白毫绿茶、桂平西山绿茶、金秀红茶、白毫红茶、昭平红、三江红、苍梧六堡茶等。</w:t>
            </w:r>
          </w:p>
          <w:p>
            <w:pPr>
              <w:spacing w:line="440" w:lineRule="exact"/>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三、广西农产品产销价格监测预警系统运维及数据采集服务项目保障服务</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1.人员管理要求</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1.1服务人员要求</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安排至少1名</w:t>
            </w:r>
            <w:bookmarkStart w:id="33" w:name="OLE_LINK12"/>
            <w:r>
              <w:rPr>
                <w:rFonts w:hint="eastAsia" w:ascii="宋体" w:hAnsi="宋体" w:cs="宋体"/>
                <w:color w:val="auto"/>
                <w:szCs w:val="21"/>
                <w:highlight w:val="none"/>
              </w:rPr>
              <w:t>运维技术工程师</w:t>
            </w:r>
            <w:bookmarkEnd w:id="33"/>
            <w:r>
              <w:rPr>
                <w:rFonts w:hint="eastAsia" w:ascii="宋体" w:hAnsi="宋体" w:cs="宋体"/>
                <w:color w:val="auto"/>
                <w:szCs w:val="21"/>
                <w:highlight w:val="none"/>
              </w:rPr>
              <w:t>，负责系统运行维护</w:t>
            </w:r>
            <w:r>
              <w:rPr>
                <w:rFonts w:hint="eastAsia" w:ascii="宋体" w:hAnsi="宋体" w:cs="宋体"/>
                <w:color w:val="auto"/>
                <w:szCs w:val="21"/>
                <w:highlight w:val="none"/>
                <w:lang w:eastAsia="zh-CN"/>
              </w:rPr>
              <w:t>和数据服务</w:t>
            </w:r>
            <w:r>
              <w:rPr>
                <w:rFonts w:hint="eastAsia" w:ascii="宋体" w:hAnsi="宋体" w:cs="宋体"/>
                <w:color w:val="auto"/>
                <w:szCs w:val="21"/>
                <w:highlight w:val="none"/>
              </w:rPr>
              <w:t>工作。</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1.1人员资质要求</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运维技术工程师应具备本科以上学历，计算机相关专业，有1年以上系统运维经验。运维人员需开展岗前培训并测试合格后方可进驻项目服务，需拥有良好的沟通协调能力，能够及时接收并处理采购方反馈的问题，对于无法立即解决的问题，需在第一时间向对应技术人员或项目经理进行反馈。</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1.2人员流动性要求</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未经采购方同意，在合同期内不得更换运维技术工程师。</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1.3工作职责要求</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提供7×24小时电话技术支持（包含电话、邮件、远程桌面支持等），接到系统故障或配表任务通知后，工作日10分钟响应，必要时1小时内到现场，非工作日30分钟响应，必要时2小时内到达现场。如系统临时有突发任务时，供应商需及时调配足够人手，确保按时按质按量完成项目需求。</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②严格执行采购方各项管理制度，包括但不限于文档管理、办公场所规范、考勤制度、评估机制、着装标准及语言规范；</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③对重大故障需立即向采购方报备，并按规范要求及时提交书面故障分析报告；</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④定期向采购方提交技术文档，包括问题总结报告、系统优化方案及日常维护记录；</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⑤每月编制并提交采购方反馈问题汇总及处理情况统计表；</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⑥保持与采购方的常态化沟通，及时跟进落实采购方提出的改进建议与工作要求。</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2.故障管理服务级别</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最高：由于应用系统故障造成应用系统停止运行，对</w:t>
            </w:r>
            <w:bookmarkStart w:id="34" w:name="OLE_LINK13"/>
            <w:r>
              <w:rPr>
                <w:rFonts w:hint="eastAsia" w:ascii="宋体" w:hAnsi="宋体" w:cs="宋体"/>
                <w:color w:val="auto"/>
                <w:szCs w:val="21"/>
                <w:highlight w:val="none"/>
              </w:rPr>
              <w:t>采购方</w:t>
            </w:r>
            <w:bookmarkEnd w:id="34"/>
            <w:r>
              <w:rPr>
                <w:rFonts w:hint="eastAsia" w:ascii="宋体" w:hAnsi="宋体" w:cs="宋体"/>
                <w:color w:val="auto"/>
                <w:szCs w:val="21"/>
                <w:highlight w:val="none"/>
              </w:rPr>
              <w:t>的业务运行造成严重影响。</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高：应用系统性能严重受损，或出现的应用系统故障影响应用系统正常运行。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中：应用系统性能受损，或偶尔出现的应用系统故障，但应用系统仍可运行。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低：需要对应用系统涉及产品的安装、配置、调整、升级方面的信息及支特服务。</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故障响应时间：</w:t>
            </w:r>
          </w:p>
          <w:tbl>
            <w:tblPr>
              <w:tblStyle w:val="42"/>
              <w:tblW w:w="6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4"/>
              <w:gridCol w:w="2134"/>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34" w:type="dxa"/>
                  <w:shd w:val="clear" w:color="auto" w:fill="auto"/>
                  <w:vAlign w:val="center"/>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编号</w:t>
                  </w:r>
                </w:p>
              </w:tc>
              <w:tc>
                <w:tcPr>
                  <w:tcW w:w="2134" w:type="dxa"/>
                  <w:shd w:val="clear" w:color="auto" w:fill="auto"/>
                  <w:vAlign w:val="center"/>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故障等级</w:t>
                  </w:r>
                </w:p>
              </w:tc>
              <w:tc>
                <w:tcPr>
                  <w:tcW w:w="2134" w:type="dxa"/>
                  <w:shd w:val="clear" w:color="auto" w:fill="auto"/>
                  <w:vAlign w:val="center"/>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故障响应时间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最高</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高</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低</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30分钟</w:t>
                  </w:r>
                </w:p>
              </w:tc>
            </w:tr>
          </w:tbl>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业务恢复时间：</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8"/>
              <w:gridCol w:w="2157"/>
              <w:gridCol w:w="2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58" w:type="dxa"/>
                  <w:shd w:val="clear" w:color="auto" w:fill="auto"/>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编号</w:t>
                  </w:r>
                </w:p>
              </w:tc>
              <w:tc>
                <w:tcPr>
                  <w:tcW w:w="2157" w:type="dxa"/>
                  <w:shd w:val="clear" w:color="auto" w:fill="auto"/>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故障等级</w:t>
                  </w:r>
                </w:p>
              </w:tc>
              <w:tc>
                <w:tcPr>
                  <w:tcW w:w="2157" w:type="dxa"/>
                  <w:shd w:val="clear" w:color="auto" w:fill="auto"/>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最后解决时限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58"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最高</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58"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高</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58"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5个小时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58"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低</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6个小时</w:t>
                  </w:r>
                </w:p>
              </w:tc>
            </w:tr>
          </w:tbl>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事件分析时间：</w:t>
            </w:r>
          </w:p>
          <w:tbl>
            <w:tblPr>
              <w:tblStyle w:val="42"/>
              <w:tblW w:w="6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2166"/>
              <w:gridCol w:w="2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67" w:type="dxa"/>
                  <w:shd w:val="clear" w:color="auto" w:fill="auto"/>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编号</w:t>
                  </w:r>
                </w:p>
              </w:tc>
              <w:tc>
                <w:tcPr>
                  <w:tcW w:w="2166" w:type="dxa"/>
                  <w:shd w:val="clear" w:color="auto" w:fill="auto"/>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优先级代码</w:t>
                  </w:r>
                </w:p>
              </w:tc>
              <w:tc>
                <w:tcPr>
                  <w:tcW w:w="2166" w:type="dxa"/>
                  <w:shd w:val="clear" w:color="auto" w:fill="auto"/>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最后解决时限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6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最高</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6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高</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6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5个小时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6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低</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6个小时</w:t>
                  </w:r>
                </w:p>
              </w:tc>
            </w:tr>
          </w:tbl>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三、广西农产品产销价格监测预警系统安全整改服务</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按照自治区政府安全整改要求，及时响应并完成安全整改工作。</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1.漏洞修复时效要求：高风险等级漏洞：收到报告后3个工作日内完成修复；中低风险等级漏洞：收到报告后两周内完成修复。</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2.完成修复后须向采购方提交完整的安全整改报告，如遇到系统较大版本升级改动等特殊情况需要延期解决，需在安全整改报告中说明，并给出具体完成修复时间。</w:t>
            </w:r>
          </w:p>
          <w:p>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四、文档编写服务</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按照自治区政府安全整改要求，及时响应并完成安全整改工作。</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1.漏洞修复时效要求：高风险等级漏洞：收到报告后3个工作日内完成修复；中低风险等级漏洞：收到报告后两周内完成修复。</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2.完成修复后须向采购方提交完整的安全整改报告，如遇到系统较大版本升级改动等特殊情况需要延期解决，需在安全整改报告中说明，并给出具体完成修复时间。</w:t>
            </w: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五、系统对接服务</w:t>
            </w:r>
          </w:p>
          <w:p>
            <w:pPr>
              <w:spacing w:line="440" w:lineRule="exact"/>
              <w:ind w:firstLine="420" w:firstLineChars="200"/>
              <w:jc w:val="left"/>
              <w:rPr>
                <w:rFonts w:ascii="宋体" w:hAnsi="宋体" w:cs="宋体"/>
                <w:color w:val="auto"/>
                <w:szCs w:val="21"/>
                <w:highlight w:val="none"/>
              </w:rPr>
            </w:pPr>
            <w:bookmarkStart w:id="35" w:name="OLE_LINK14"/>
            <w:r>
              <w:rPr>
                <w:rFonts w:hint="eastAsia" w:ascii="宋体" w:hAnsi="宋体" w:cs="宋体"/>
                <w:color w:val="auto"/>
                <w:szCs w:val="21"/>
                <w:highlight w:val="none"/>
              </w:rPr>
              <w:t>在进行系统重大更新、数据处理或版本升级等操作前，必须向采购方提交包含完整解决方案和风险评估报告的技术文档，经采购方审核确认后方可实施；执行过程中应根据操作复杂程度安排采购方参与关键环节协作，若遇方案调整需重新提交修订文档并获得书面确认。</w:t>
            </w:r>
          </w:p>
          <w:bookmarkEnd w:id="35"/>
          <w:p>
            <w:pPr>
              <w:spacing w:line="440" w:lineRule="exact"/>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六、系统调优服务。</w:t>
            </w:r>
            <w:bookmarkStart w:id="36" w:name="OLE_LINK15"/>
            <w:r>
              <w:rPr>
                <w:rFonts w:hint="eastAsia" w:ascii="宋体" w:hAnsi="宋体" w:cs="宋体"/>
                <w:color w:val="auto"/>
                <w:szCs w:val="21"/>
                <w:highlight w:val="none"/>
              </w:rPr>
              <w:t>按照采购方要求，对系统部分指标、模块进行调优。</w:t>
            </w:r>
            <w:bookmarkEnd w:id="32"/>
            <w:bookmarkEnd w:id="36"/>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96" w:type="dxa"/>
            <w:gridSpan w:val="6"/>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color w:val="auto"/>
                <w:szCs w:val="21"/>
                <w:highlight w:val="none"/>
              </w:rPr>
            </w:pPr>
            <w:r>
              <w:rPr>
                <w:rFonts w:hint="eastAsia" w:ascii="宋体" w:hAnsi="宋体" w:cs="宋体"/>
                <w:b/>
                <w:color w:val="auto"/>
                <w:szCs w:val="21"/>
                <w:highlight w:val="none"/>
              </w:rPr>
              <w:t>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r>
              <w:rPr>
                <w:rFonts w:hint="eastAsia" w:ascii="宋体" w:hAnsi="宋体" w:cs="宋体"/>
                <w:b/>
                <w:bCs/>
                <w:color w:val="auto"/>
                <w:szCs w:val="21"/>
                <w:highlight w:val="none"/>
              </w:rPr>
              <w:t>▲</w:t>
            </w:r>
            <w:r>
              <w:rPr>
                <w:rFonts w:hint="eastAsia" w:ascii="宋体" w:hAnsi="宋体" w:cs="宋体"/>
                <w:bCs/>
                <w:color w:val="auto"/>
                <w:szCs w:val="21"/>
                <w:highlight w:val="none"/>
              </w:rPr>
              <w:t>磋商报价要求</w:t>
            </w:r>
          </w:p>
        </w:tc>
        <w:tc>
          <w:tcPr>
            <w:tcW w:w="8496" w:type="dxa"/>
            <w:gridSpan w:val="4"/>
            <w:tcBorders>
              <w:top w:val="single" w:color="auto" w:sz="4" w:space="0"/>
              <w:left w:val="single" w:color="auto" w:sz="4" w:space="0"/>
              <w:bottom w:val="single" w:color="auto" w:sz="4" w:space="0"/>
              <w:right w:val="single" w:color="auto" w:sz="4" w:space="0"/>
            </w:tcBorders>
            <w:vAlign w:val="center"/>
          </w:tcPr>
          <w:p>
            <w:pPr>
              <w:pStyle w:val="19"/>
              <w:spacing w:after="0" w:line="440" w:lineRule="exact"/>
              <w:rPr>
                <w:rFonts w:ascii="宋体" w:hAnsi="宋体" w:cs="宋体"/>
                <w:color w:val="auto"/>
                <w:szCs w:val="21"/>
                <w:highlight w:val="none"/>
              </w:rPr>
            </w:pPr>
            <w:r>
              <w:rPr>
                <w:rFonts w:hint="eastAsia" w:ascii="宋体" w:hAnsi="宋体" w:cs="宋体"/>
                <w:color w:val="auto"/>
                <w:szCs w:val="21"/>
                <w:highlight w:val="none"/>
              </w:rPr>
              <w:t>报价包括完成本项目“项目需求”中所列所有服务内容产生的所有成本、项目验收、税金、利润等费用，采购人不再另行支付任何费用。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合同履行期限和地点</w:t>
            </w:r>
          </w:p>
        </w:tc>
        <w:tc>
          <w:tcPr>
            <w:tcW w:w="8496"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1.合同履行期限：</w:t>
            </w:r>
            <w:bookmarkStart w:id="37" w:name="OLE_LINK62"/>
            <w:r>
              <w:rPr>
                <w:rFonts w:hint="eastAsia" w:ascii="宋体" w:hAnsi="宋体" w:cs="宋体"/>
                <w:color w:val="auto"/>
                <w:szCs w:val="21"/>
                <w:highlight w:val="none"/>
              </w:rPr>
              <w:t>2025年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月28日—2026年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月27日</w:t>
            </w:r>
            <w:bookmarkEnd w:id="37"/>
            <w:r>
              <w:rPr>
                <w:rFonts w:hint="eastAsia" w:ascii="宋体" w:hAnsi="宋体" w:cs="宋体"/>
                <w:color w:val="auto"/>
                <w:szCs w:val="21"/>
                <w:highlight w:val="none"/>
              </w:rPr>
              <w:t>；</w:t>
            </w:r>
          </w:p>
          <w:p>
            <w:pPr>
              <w:pStyle w:val="19"/>
              <w:spacing w:after="0" w:line="440" w:lineRule="exact"/>
              <w:rPr>
                <w:rFonts w:ascii="宋体" w:hAnsi="宋体" w:cs="宋体"/>
                <w:color w:val="auto"/>
                <w:szCs w:val="21"/>
                <w:highlight w:val="none"/>
              </w:rPr>
            </w:pPr>
            <w:r>
              <w:rPr>
                <w:rFonts w:hint="eastAsia" w:ascii="宋体" w:hAnsi="宋体" w:cs="宋体"/>
                <w:color w:val="auto"/>
                <w:szCs w:val="21"/>
                <w:highlight w:val="none"/>
              </w:rPr>
              <w:t>2.广西区内采购人指定地点。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付款条件</w:t>
            </w:r>
          </w:p>
        </w:tc>
        <w:tc>
          <w:tcPr>
            <w:tcW w:w="8496"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b/>
                <w:color w:val="auto"/>
                <w:szCs w:val="21"/>
                <w:highlight w:val="none"/>
              </w:rPr>
            </w:pPr>
            <w:bookmarkStart w:id="38" w:name="OLE_LINK19"/>
            <w:r>
              <w:rPr>
                <w:rFonts w:hint="eastAsia" w:ascii="宋体" w:hAnsi="宋体" w:cs="宋体"/>
                <w:bCs/>
                <w:color w:val="auto"/>
                <w:szCs w:val="21"/>
                <w:highlight w:val="none"/>
              </w:rPr>
              <w:t>采购人应于合同签订后20个工作日内，向成交供应商支付合同款的30%作为定金</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供应商持续提供运维服务满2个月后，采购人向供应商支付剩余60%合同款；待项目通过年度验收并确认合格后，采购人向供应商支付剩余10%合同款。成交供应商应于每次收到合同款后3个工作日内，向采购人出具合法有效的增值税专用发票，发票金额须与当次收款金额完全相符。</w:t>
            </w:r>
            <w:bookmarkEnd w:id="38"/>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r>
              <w:rPr>
                <w:rFonts w:hint="eastAsia" w:ascii="宋体" w:hAnsi="宋体" w:cs="宋体"/>
                <w:color w:val="auto"/>
                <w:szCs w:val="21"/>
                <w:highlight w:val="none"/>
              </w:rPr>
              <w:t>▲售后服务</w:t>
            </w:r>
          </w:p>
        </w:tc>
        <w:tc>
          <w:tcPr>
            <w:tcW w:w="8496"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宋体" w:hAnsi="宋体" w:cs="宋体"/>
                <w:color w:val="auto"/>
                <w:szCs w:val="21"/>
                <w:highlight w:val="none"/>
              </w:rPr>
            </w:pPr>
            <w:bookmarkStart w:id="39" w:name="OLE_LINK63"/>
            <w:r>
              <w:rPr>
                <w:rFonts w:hint="eastAsia" w:ascii="宋体" w:hAnsi="宋体" w:cs="宋体"/>
                <w:color w:val="auto"/>
                <w:szCs w:val="21"/>
                <w:highlight w:val="none"/>
              </w:rPr>
              <w:t>1.售后服务：</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cstheme="minorEastAsia"/>
                <w:b w:val="0"/>
                <w:bCs w:val="0"/>
                <w:color w:val="auto"/>
                <w:sz w:val="21"/>
                <w:szCs w:val="21"/>
                <w:highlight w:val="none"/>
                <w:lang w:eastAsia="zh-CN"/>
              </w:rPr>
              <w:t>（</w:t>
            </w:r>
            <w:r>
              <w:rPr>
                <w:rFonts w:hint="eastAsia" w:asciiTheme="minorEastAsia" w:hAnsiTheme="minorEastAsia" w:cstheme="minorEastAsia"/>
                <w:b w:val="0"/>
                <w:bCs w:val="0"/>
                <w:color w:val="auto"/>
                <w:sz w:val="21"/>
                <w:szCs w:val="21"/>
                <w:highlight w:val="none"/>
                <w:lang w:val="en-US" w:eastAsia="zh-CN"/>
              </w:rPr>
              <w:t>1</w:t>
            </w:r>
            <w:r>
              <w:rPr>
                <w:rFonts w:hint="eastAsia" w:asciiTheme="minorEastAsia" w:hAnsiTheme="minorEastAsia" w:cstheme="minorEastAsia"/>
                <w:b w:val="0"/>
                <w:bCs w:val="0"/>
                <w:color w:val="auto"/>
                <w:sz w:val="21"/>
                <w:szCs w:val="21"/>
                <w:highlight w:val="none"/>
                <w:lang w:eastAsia="zh-CN"/>
              </w:rPr>
              <w:t>）驻场人员要求：</w:t>
            </w:r>
            <w:r>
              <w:rPr>
                <w:rFonts w:hint="eastAsia" w:asciiTheme="minorEastAsia" w:hAnsiTheme="minorEastAsia" w:eastAsiaTheme="minorEastAsia" w:cstheme="minorEastAsia"/>
                <w:b w:val="0"/>
                <w:bCs w:val="0"/>
                <w:color w:val="auto"/>
                <w:sz w:val="21"/>
                <w:szCs w:val="21"/>
                <w:highlight w:val="none"/>
                <w:lang w:val="en-US" w:eastAsia="zh-CN"/>
              </w:rPr>
              <w:t>安排1名熟悉业务的</w:t>
            </w:r>
            <w:r>
              <w:rPr>
                <w:rFonts w:hint="eastAsia" w:asciiTheme="minorEastAsia" w:hAnsiTheme="minorEastAsia" w:cstheme="minorEastAsia"/>
                <w:b w:val="0"/>
                <w:bCs w:val="0"/>
                <w:color w:val="auto"/>
                <w:sz w:val="21"/>
                <w:szCs w:val="21"/>
                <w:highlight w:val="none"/>
                <w:lang w:val="en-US" w:eastAsia="zh-CN"/>
              </w:rPr>
              <w:t>驻场人员</w:t>
            </w:r>
            <w:r>
              <w:rPr>
                <w:rFonts w:hint="eastAsia" w:asciiTheme="minorEastAsia" w:hAnsiTheme="minorEastAsia" w:eastAsiaTheme="minorEastAsia" w:cstheme="minorEastAsia"/>
                <w:b w:val="0"/>
                <w:bCs w:val="0"/>
                <w:color w:val="auto"/>
                <w:sz w:val="21"/>
                <w:szCs w:val="21"/>
                <w:highlight w:val="none"/>
                <w:lang w:val="en-US" w:eastAsia="zh-CN"/>
              </w:rPr>
              <w:t>，负责</w:t>
            </w:r>
            <w:r>
              <w:rPr>
                <w:rFonts w:hint="eastAsia" w:asciiTheme="minorEastAsia" w:hAnsiTheme="minorEastAsia" w:cstheme="minorEastAsia"/>
                <w:b w:val="0"/>
                <w:bCs w:val="0"/>
                <w:color w:val="auto"/>
                <w:sz w:val="21"/>
                <w:szCs w:val="21"/>
                <w:highlight w:val="none"/>
                <w:lang w:val="en-US" w:eastAsia="zh-CN"/>
              </w:rPr>
              <w:t>日常</w:t>
            </w:r>
            <w:r>
              <w:rPr>
                <w:rFonts w:hint="eastAsia" w:asciiTheme="minorEastAsia" w:hAnsiTheme="minorEastAsia" w:eastAsiaTheme="minorEastAsia" w:cstheme="minorEastAsia"/>
                <w:b w:val="0"/>
                <w:bCs w:val="0"/>
                <w:color w:val="auto"/>
                <w:sz w:val="21"/>
                <w:szCs w:val="21"/>
                <w:highlight w:val="none"/>
                <w:lang w:val="en-US" w:eastAsia="zh-CN"/>
              </w:rPr>
              <w:t>工作。</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）质量保证期内按采购人指定的地点上门服务</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上门服务费用包含在报价中</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pPr>
              <w:spacing w:line="44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）服务期内提供7×24小时电话技术支持（包含电话、邮件、远程桌面支持等）</w:t>
            </w:r>
            <w:r>
              <w:rPr>
                <w:rFonts w:hint="eastAsia" w:ascii="宋体" w:hAnsi="宋体" w:cs="宋体"/>
                <w:color w:val="auto"/>
                <w:szCs w:val="21"/>
                <w:highlight w:val="none"/>
                <w:lang w:eastAsia="zh-CN"/>
              </w:rPr>
              <w:t>；</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）接到系统故障或整理价格数据通知后，工作日10分钟响应，必要时1小时内到现场，非工作日30分钟响应，必要时2小时内到达现场。</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）定期回访；</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2.在质量保证期内，通过热线咨询电话、呼叫中心方式实现电话技术支持，提供日常系统疑问咨询解答，帮助业务人员顺利完成系统日常运作。</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3.在质量保证期内，通过在线帮助中心、电子邮件、QQ网络技术支持，及时在线解答采购单位人员咨询疑问。</w:t>
            </w:r>
            <w:bookmarkEnd w:id="39"/>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其他要求</w:t>
            </w:r>
          </w:p>
        </w:tc>
        <w:tc>
          <w:tcPr>
            <w:tcW w:w="8496" w:type="dxa"/>
            <w:gridSpan w:val="4"/>
            <w:tcBorders>
              <w:top w:val="single" w:color="auto" w:sz="4" w:space="0"/>
              <w:left w:val="single" w:color="auto" w:sz="4" w:space="0"/>
              <w:bottom w:val="single" w:color="auto" w:sz="4" w:space="0"/>
              <w:right w:val="single" w:color="auto" w:sz="4" w:space="0"/>
            </w:tcBorders>
            <w:vAlign w:val="center"/>
          </w:tcPr>
          <w:p>
            <w:pPr>
              <w:pStyle w:val="213"/>
              <w:spacing w:before="0" w:after="0" w:line="440" w:lineRule="exact"/>
              <w:rPr>
                <w:rFonts w:ascii="宋体" w:hAnsi="宋体" w:cs="宋体"/>
                <w:bCs w:val="0"/>
                <w:color w:val="auto"/>
                <w:spacing w:val="0"/>
                <w:kern w:val="2"/>
                <w:sz w:val="21"/>
                <w:szCs w:val="21"/>
                <w:highlight w:val="none"/>
              </w:rPr>
            </w:pPr>
            <w:bookmarkStart w:id="40" w:name="OLE_LINK4"/>
            <w:r>
              <w:rPr>
                <w:rFonts w:hint="eastAsia" w:ascii="宋体" w:hAnsi="宋体" w:cs="宋体"/>
                <w:bCs w:val="0"/>
                <w:color w:val="auto"/>
                <w:spacing w:val="0"/>
                <w:kern w:val="2"/>
                <w:sz w:val="21"/>
                <w:szCs w:val="21"/>
                <w:highlight w:val="none"/>
              </w:rPr>
              <w:t>1.版权归属：应用软件版权归广西壮族自治区农业信息中心所有，本项目采购软件或基于开源软件所涉及的二次开发部分知识产权归采购人所有。</w:t>
            </w:r>
          </w:p>
          <w:p>
            <w:pPr>
              <w:pStyle w:val="213"/>
              <w:spacing w:before="0" w:after="0" w:line="440" w:lineRule="exact"/>
              <w:rPr>
                <w:rFonts w:ascii="宋体" w:hAnsi="宋体" w:cs="宋体"/>
                <w:bCs w:val="0"/>
                <w:color w:val="auto"/>
                <w:spacing w:val="0"/>
                <w:kern w:val="2"/>
                <w:sz w:val="21"/>
                <w:szCs w:val="21"/>
                <w:highlight w:val="none"/>
              </w:rPr>
            </w:pPr>
            <w:r>
              <w:rPr>
                <w:rFonts w:hint="eastAsia" w:ascii="宋体" w:hAnsi="宋体" w:cs="宋体"/>
                <w:bCs w:val="0"/>
                <w:color w:val="auto"/>
                <w:spacing w:val="0"/>
                <w:kern w:val="2"/>
                <w:sz w:val="21"/>
                <w:szCs w:val="21"/>
                <w:highlight w:val="none"/>
              </w:rPr>
              <w:t>2.供应商请在响应文件中提供具体的服务方案和服务机构的详细情况（包括服务机构的地址、服务人员姓名、联系方式等）。</w:t>
            </w:r>
            <w:bookmarkEnd w:id="40"/>
          </w:p>
        </w:tc>
      </w:tr>
    </w:tbl>
    <w:p>
      <w:pPr>
        <w:pStyle w:val="19"/>
        <w:spacing w:line="440" w:lineRule="exact"/>
        <w:rPr>
          <w:rFonts w:ascii="宋体" w:hAnsi="宋体" w:cs="宋体"/>
          <w:b/>
          <w:color w:val="auto"/>
          <w:sz w:val="24"/>
          <w:highlight w:val="none"/>
        </w:rPr>
        <w:sectPr>
          <w:pgSz w:w="11906" w:h="16838"/>
          <w:pgMar w:top="1134" w:right="1247" w:bottom="1134" w:left="1247" w:header="851" w:footer="992" w:gutter="0"/>
          <w:cols w:space="720" w:num="1"/>
          <w:docGrid w:linePitch="312" w:charSpace="0"/>
        </w:sectPr>
      </w:pPr>
    </w:p>
    <w:p>
      <w:pPr>
        <w:pStyle w:val="5"/>
        <w:spacing w:before="0" w:after="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标项四</w:t>
      </w:r>
    </w:p>
    <w:tbl>
      <w:tblPr>
        <w:tblStyle w:val="41"/>
        <w:tblW w:w="105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362"/>
        <w:gridCol w:w="83"/>
        <w:gridCol w:w="911"/>
        <w:gridCol w:w="757"/>
        <w:gridCol w:w="6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655" w:type="dxa"/>
            <w:vAlign w:val="center"/>
          </w:tcPr>
          <w:p>
            <w:pPr>
              <w:tabs>
                <w:tab w:val="left" w:pos="180"/>
                <w:tab w:val="left" w:pos="1620"/>
              </w:tabs>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362" w:type="dxa"/>
            <w:vAlign w:val="center"/>
          </w:tcPr>
          <w:p>
            <w:pPr>
              <w:tabs>
                <w:tab w:val="left" w:pos="180"/>
                <w:tab w:val="left" w:pos="1620"/>
              </w:tabs>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标的名称</w:t>
            </w:r>
          </w:p>
        </w:tc>
        <w:tc>
          <w:tcPr>
            <w:tcW w:w="994" w:type="dxa"/>
            <w:gridSpan w:val="2"/>
            <w:vAlign w:val="center"/>
          </w:tcPr>
          <w:p>
            <w:pPr>
              <w:tabs>
                <w:tab w:val="left" w:pos="180"/>
                <w:tab w:val="left" w:pos="1620"/>
              </w:tabs>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数量及单位</w:t>
            </w:r>
          </w:p>
        </w:tc>
        <w:tc>
          <w:tcPr>
            <w:tcW w:w="757" w:type="dxa"/>
            <w:vAlign w:val="center"/>
          </w:tcPr>
          <w:p>
            <w:pPr>
              <w:tabs>
                <w:tab w:val="left" w:pos="180"/>
                <w:tab w:val="left" w:pos="1620"/>
              </w:tabs>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所属</w:t>
            </w:r>
          </w:p>
          <w:p>
            <w:pPr>
              <w:tabs>
                <w:tab w:val="left" w:pos="180"/>
                <w:tab w:val="left" w:pos="1620"/>
              </w:tabs>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行业</w:t>
            </w:r>
          </w:p>
        </w:tc>
        <w:tc>
          <w:tcPr>
            <w:tcW w:w="6828" w:type="dxa"/>
            <w:vAlign w:val="center"/>
          </w:tcPr>
          <w:p>
            <w:pPr>
              <w:tabs>
                <w:tab w:val="left" w:pos="180"/>
                <w:tab w:val="left" w:pos="1620"/>
              </w:tabs>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655" w:type="dxa"/>
            <w:vAlign w:val="center"/>
          </w:tcPr>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362" w:type="dxa"/>
            <w:vAlign w:val="center"/>
          </w:tcPr>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广西农情信息管理系统运维服务</w:t>
            </w:r>
          </w:p>
        </w:tc>
        <w:tc>
          <w:tcPr>
            <w:tcW w:w="994" w:type="dxa"/>
            <w:gridSpan w:val="2"/>
            <w:vAlign w:val="center"/>
          </w:tcPr>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757" w:type="dxa"/>
            <w:vAlign w:val="center"/>
          </w:tcPr>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软件和信息技术服务业</w:t>
            </w:r>
          </w:p>
        </w:tc>
        <w:tc>
          <w:tcPr>
            <w:tcW w:w="6828" w:type="dxa"/>
            <w:vAlign w:val="center"/>
          </w:tcPr>
          <w:p>
            <w:pPr>
              <w:spacing w:line="440" w:lineRule="exact"/>
              <w:ind w:firstLine="420" w:firstLineChars="200"/>
              <w:jc w:val="left"/>
              <w:rPr>
                <w:rFonts w:ascii="宋体" w:hAnsi="宋体" w:cs="宋体"/>
                <w:color w:val="auto"/>
                <w:szCs w:val="21"/>
                <w:highlight w:val="none"/>
              </w:rPr>
            </w:pPr>
            <w:bookmarkStart w:id="41" w:name="OLE_LINK6"/>
            <w:bookmarkStart w:id="42" w:name="OLE_LINK43"/>
            <w:r>
              <w:rPr>
                <w:rFonts w:hint="eastAsia" w:ascii="宋体" w:hAnsi="宋体" w:cs="宋体"/>
                <w:color w:val="auto"/>
                <w:szCs w:val="21"/>
                <w:highlight w:val="none"/>
              </w:rPr>
              <w:t>依据广西农情信息管理系统（以下简称系统）技术保障要求，对系统实施运行维护</w:t>
            </w:r>
            <w:bookmarkEnd w:id="41"/>
            <w:r>
              <w:rPr>
                <w:rFonts w:hint="eastAsia" w:ascii="宋体" w:hAnsi="宋体" w:cs="宋体"/>
                <w:color w:val="auto"/>
                <w:szCs w:val="21"/>
                <w:highlight w:val="none"/>
              </w:rPr>
              <w:t>，并提供农情进度报表的配置服务。</w:t>
            </w:r>
          </w:p>
          <w:p>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一、广西农情信息管理系统运行维护服务</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1.每月对系统服务器代码实施备份，并定期对服务器软硬件及网络环境开展监控及维护。</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2.每周对系统开展例行巡检，重点检查以下内容运行状态是否正常：①服务器设备：硬件设备、操作系统、中间件等；②软件设备：系统环境、数据库环境、系统配套服务等；③安全防护系统等。针对发现的异常和隐患，及时实施系统安全漏洞加固和补丁修补。</w:t>
            </w:r>
          </w:p>
          <w:p>
            <w:pPr>
              <w:spacing w:line="44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3.每月核查系统数据、文件等服务器资源占用情况，并根据核查结果编制资源分析报告。</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4.每月开展系统安全维护及数据备份工作。数据备份包括系统数据库备份与正文附件备份。</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5.负责系统的补丁更新及测试工作，确保更新顺利进行，保障系统稳定运行。</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6.掌握系统环境和功能，记录服务器及相关设备的配置信息，存档并及时更新变动。</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7.服务器台账记录：所有服务器代码修改、功能调整及配置变更等操作，需记录在台账中。</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8.负责系统微信小程序客户端的维护，确保其平稳运行。</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9.及时解决客户端使用过程中遇到的系统故障。</w:t>
            </w:r>
          </w:p>
          <w:p>
            <w:pPr>
              <w:spacing w:line="44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rPr>
              <w:t>10.按照采购方需求，对系统原有功能进行小范围调整及维护，并配合采购方，就新增功能的使用向客户端提供培训及讲解。</w:t>
            </w:r>
          </w:p>
          <w:p>
            <w:pPr>
              <w:spacing w:line="44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11.对接相关系统接口开发。</w:t>
            </w:r>
          </w:p>
          <w:p>
            <w:pPr>
              <w:spacing w:line="440" w:lineRule="exact"/>
              <w:ind w:firstLine="420" w:firstLineChars="200"/>
              <w:rPr>
                <w:rFonts w:hint="default" w:ascii="宋体" w:hAnsi="宋体" w:cs="宋体"/>
                <w:color w:val="auto"/>
                <w:szCs w:val="21"/>
                <w:highlight w:val="none"/>
                <w:lang w:val="en-US" w:eastAsia="zh-CN"/>
              </w:rPr>
            </w:pPr>
            <w:bookmarkStart w:id="43" w:name="OLE_LINK7"/>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协助</w:t>
            </w:r>
            <w:r>
              <w:rPr>
                <w:rFonts w:hint="eastAsia" w:ascii="宋体" w:hAnsi="宋体" w:cs="宋体"/>
                <w:color w:val="auto"/>
                <w:szCs w:val="21"/>
                <w:highlight w:val="none"/>
                <w:lang w:eastAsia="zh-CN"/>
              </w:rPr>
              <w:t>采购方</w:t>
            </w:r>
            <w:r>
              <w:rPr>
                <w:rFonts w:hint="eastAsia" w:ascii="宋体" w:hAnsi="宋体" w:cs="宋体"/>
                <w:color w:val="auto"/>
                <w:szCs w:val="21"/>
                <w:highlight w:val="none"/>
              </w:rPr>
              <w:t>到各个部门调研需求并提供相应的需求报告，为信息化项目提供咨询服务。</w:t>
            </w:r>
          </w:p>
          <w:bookmarkEnd w:id="43"/>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二、广西农情信息管理系统农情进度报表配置服务</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按照采购方要求，通过系统下发全区种植业生产进度报表。常规情况下，每周下发一次报表，覆盖全区14个市、113个县（市、区）。在春种、夏收夏种、秋收秋种等关键农时季节，报表下发频率增加，一周两次或一天一次。此外，每年2月下发全年农作物种植意向表，6月和11月分别下发全区早稻、晚稻产量三要素调度表，9月下发全区农作物种植面积、产量预测表。同时，根据采购方要求下发其他相关表格。</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农情进度报表配置要求：1.配表前：供应商需形成配表明细记录（以系统中县区填报页面显示的报表为模板），标注每期报表中每个指标的环比、同比取数及逻辑校验等内容，提交采购方审核后，再进行配表。2.配表完成：供应商配表完成后，针对配表内容进行再次审核，确保配置无误。3.测试任务：供应商发放测试任务后，需从县级—市级—区级三级进行测试，确保县级填报时各项逻辑校验无误，市级、区级的汇总数据准确无误。4.正式报表任务：完成三级测试后，供应商正式下发报表任务。</w:t>
            </w:r>
          </w:p>
          <w:p>
            <w:pPr>
              <w:spacing w:line="440" w:lineRule="exact"/>
              <w:ind w:firstLine="422" w:firstLineChars="200"/>
              <w:rPr>
                <w:rFonts w:ascii="宋体" w:hAnsi="宋体" w:cs="宋体"/>
                <w:color w:val="auto"/>
                <w:szCs w:val="21"/>
                <w:highlight w:val="none"/>
              </w:rPr>
            </w:pPr>
            <w:r>
              <w:rPr>
                <w:rFonts w:hint="eastAsia" w:ascii="宋体" w:hAnsi="宋体" w:cs="宋体"/>
                <w:b/>
                <w:bCs/>
                <w:color w:val="auto"/>
                <w:szCs w:val="21"/>
                <w:highlight w:val="none"/>
              </w:rPr>
              <w:t>三、广西农情信息管理系统保障服务</w:t>
            </w:r>
          </w:p>
          <w:p>
            <w:pPr>
              <w:spacing w:line="440" w:lineRule="exact"/>
              <w:ind w:firstLine="420" w:firstLineChars="200"/>
              <w:jc w:val="left"/>
              <w:rPr>
                <w:rFonts w:ascii="宋体" w:hAnsi="宋体" w:cs="宋体"/>
                <w:color w:val="auto"/>
                <w:szCs w:val="21"/>
                <w:highlight w:val="none"/>
              </w:rPr>
            </w:pPr>
            <w:bookmarkStart w:id="44" w:name="OLE_LINK18"/>
            <w:r>
              <w:rPr>
                <w:rFonts w:hint="eastAsia" w:ascii="宋体" w:hAnsi="宋体" w:cs="宋体"/>
                <w:color w:val="auto"/>
                <w:szCs w:val="21"/>
                <w:highlight w:val="none"/>
              </w:rPr>
              <w:t>1.人员管理要求</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1.1服务人员要求</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安排至少1名熟悉应用业务的运维技术工程师，负责系统运行维护和农情进度报表配置工作。</w:t>
            </w:r>
          </w:p>
          <w:p>
            <w:pPr>
              <w:spacing w:line="440" w:lineRule="exact"/>
              <w:ind w:firstLine="420" w:firstLineChars="200"/>
              <w:rPr>
                <w:rFonts w:ascii="宋体" w:hAnsi="宋体" w:cs="宋体"/>
                <w:color w:val="auto"/>
                <w:szCs w:val="21"/>
                <w:highlight w:val="none"/>
              </w:rPr>
            </w:pPr>
            <w:bookmarkStart w:id="45" w:name="OLE_LINK22"/>
            <w:r>
              <w:rPr>
                <w:rFonts w:hint="eastAsia" w:ascii="宋体" w:hAnsi="宋体" w:cs="宋体"/>
                <w:color w:val="auto"/>
                <w:szCs w:val="21"/>
                <w:highlight w:val="none"/>
              </w:rPr>
              <w:t>1.1人员资质要求</w:t>
            </w:r>
          </w:p>
          <w:p>
            <w:pPr>
              <w:spacing w:line="440" w:lineRule="exact"/>
              <w:jc w:val="left"/>
              <w:rPr>
                <w:rFonts w:ascii="宋体" w:hAnsi="宋体" w:cs="宋体"/>
                <w:color w:val="auto"/>
                <w:szCs w:val="21"/>
                <w:highlight w:val="none"/>
              </w:rPr>
            </w:pPr>
            <w:bookmarkStart w:id="46" w:name="OLE_LINK21"/>
            <w:bookmarkStart w:id="47" w:name="OLE_LINK10"/>
            <w:r>
              <w:rPr>
                <w:rFonts w:hint="eastAsia" w:ascii="宋体" w:hAnsi="宋体" w:cs="宋体"/>
                <w:color w:val="auto"/>
                <w:szCs w:val="21"/>
                <w:highlight w:val="none"/>
              </w:rPr>
              <w:t>运维技术工程师应具备计算机相关专业，有1年以上系统运维经验。运维人员需开展岗前培训并测试合格后方可进驻项目服务，</w:t>
            </w:r>
            <w:r>
              <w:rPr>
                <w:rFonts w:hint="eastAsia" w:ascii="宋体" w:hAnsi="宋体" w:cs="宋体"/>
                <w:color w:val="auto"/>
                <w:szCs w:val="21"/>
                <w:highlight w:val="none"/>
                <w:lang w:eastAsia="zh-CN"/>
              </w:rPr>
              <w:t>需</w:t>
            </w:r>
            <w:r>
              <w:rPr>
                <w:rFonts w:hint="eastAsia" w:ascii="宋体" w:hAnsi="宋体" w:cs="宋体"/>
                <w:color w:val="auto"/>
                <w:szCs w:val="21"/>
                <w:highlight w:val="none"/>
              </w:rPr>
              <w:t>拥有良好的沟通协调能力，能够及时接收并处理采购方反馈的问题，对于无法立即解决的问题，需在第一时间向对应技术人员或项目经理进行反馈。</w:t>
            </w:r>
          </w:p>
          <w:bookmarkEnd w:id="44"/>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1.2人员流动性要求</w:t>
            </w:r>
          </w:p>
          <w:p>
            <w:pPr>
              <w:spacing w:line="440" w:lineRule="exact"/>
              <w:jc w:val="left"/>
              <w:rPr>
                <w:rFonts w:ascii="宋体" w:hAnsi="宋体" w:cs="宋体"/>
                <w:color w:val="auto"/>
                <w:szCs w:val="21"/>
                <w:highlight w:val="none"/>
              </w:rPr>
            </w:pPr>
            <w:bookmarkStart w:id="48" w:name="OLE_LINK16"/>
            <w:r>
              <w:rPr>
                <w:rFonts w:hint="eastAsia" w:ascii="宋体" w:hAnsi="宋体" w:cs="宋体"/>
                <w:color w:val="auto"/>
                <w:szCs w:val="21"/>
                <w:highlight w:val="none"/>
              </w:rPr>
              <w:t>未经采购方同意，在合同期内不得更换运维技术工程师。</w:t>
            </w:r>
          </w:p>
          <w:bookmarkEnd w:id="48"/>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1.3工作职责要求</w:t>
            </w:r>
          </w:p>
          <w:p>
            <w:pPr>
              <w:spacing w:line="440" w:lineRule="exact"/>
              <w:ind w:firstLine="420"/>
              <w:jc w:val="left"/>
              <w:rPr>
                <w:rFonts w:ascii="宋体" w:hAnsi="宋体" w:cs="宋体"/>
                <w:color w:val="auto"/>
                <w:szCs w:val="21"/>
                <w:highlight w:val="none"/>
              </w:rPr>
            </w:pPr>
            <w:bookmarkStart w:id="49" w:name="OLE_LINK17"/>
            <w:r>
              <w:rPr>
                <w:rFonts w:hint="eastAsia" w:ascii="宋体" w:hAnsi="宋体" w:cs="宋体"/>
                <w:color w:val="auto"/>
                <w:szCs w:val="21"/>
                <w:highlight w:val="none"/>
              </w:rPr>
              <w:t>①提供7×24小时电话技术支持（包含电话、邮件、远程桌面支持等），</w:t>
            </w:r>
            <w:bookmarkStart w:id="50" w:name="OLE_LINK24"/>
            <w:r>
              <w:rPr>
                <w:rFonts w:hint="eastAsia" w:ascii="宋体" w:hAnsi="宋体" w:cs="宋体"/>
                <w:color w:val="auto"/>
                <w:szCs w:val="21"/>
                <w:highlight w:val="none"/>
              </w:rPr>
              <w:t>接到系统故障或配表任务通知后，工作日10分钟响应，必要时1小时内到现场，非工作日30分钟响应，必要时2小时内到达现场。如系统临时有突发任务时，供应商需及时调配足够人手，确保按时按质按量完成项目需求。</w:t>
            </w:r>
          </w:p>
          <w:bookmarkEnd w:id="45"/>
          <w:bookmarkEnd w:id="46"/>
          <w:bookmarkEnd w:id="47"/>
          <w:bookmarkEnd w:id="50"/>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②严格执行采购方各项管理制度，包括但不限于文档管理、办公场所规范、考勤制度、评估机制、着装标准及语言规范；</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③对重大故障需立即向采购方报备，并按规范要求及时提交书面故障分析报告；</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④定期向采购方提交技术文档，包括问题总结报告、系统优化方案及日常维护记录；</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⑤每月编制并提交采购方反馈问题汇总及处理情况统计表；</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⑥保持与采购方的常态化沟通，及时跟进落实采购方提出的改进建议与工作要求。</w:t>
            </w:r>
          </w:p>
          <w:bookmarkEnd w:id="49"/>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2.故障管理服务级别</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最高：由于应用系统故障造成应用系统停止运行，对采购方的业务运行造成严重影响。</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高：应用系统性能严重受损，或出现的应用系统故障影响应用系统正常运行。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中：应用系统性能受损，或偶尔出现的应用系统故障，但应用系统仍可运行。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低：需要对应用系统涉及产品的安装、配置、调整、升级方面的信息及支特服务。</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故障响应时间：</w:t>
            </w:r>
          </w:p>
          <w:tbl>
            <w:tblPr>
              <w:tblStyle w:val="42"/>
              <w:tblW w:w="6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4"/>
              <w:gridCol w:w="2134"/>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34" w:type="dxa"/>
                  <w:shd w:val="clear" w:color="auto" w:fill="auto"/>
                  <w:vAlign w:val="center"/>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编号</w:t>
                  </w:r>
                </w:p>
              </w:tc>
              <w:tc>
                <w:tcPr>
                  <w:tcW w:w="2134" w:type="dxa"/>
                  <w:shd w:val="clear" w:color="auto" w:fill="auto"/>
                  <w:vAlign w:val="center"/>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故障等级</w:t>
                  </w:r>
                </w:p>
              </w:tc>
              <w:tc>
                <w:tcPr>
                  <w:tcW w:w="2134" w:type="dxa"/>
                  <w:shd w:val="clear" w:color="auto" w:fill="auto"/>
                  <w:vAlign w:val="center"/>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故障响应时间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最高</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高</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低</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30分钟</w:t>
                  </w:r>
                </w:p>
              </w:tc>
            </w:tr>
          </w:tbl>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业务恢复时间：</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8"/>
              <w:gridCol w:w="2157"/>
              <w:gridCol w:w="2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58" w:type="dxa"/>
                  <w:shd w:val="clear" w:color="auto" w:fill="auto"/>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编号</w:t>
                  </w:r>
                </w:p>
              </w:tc>
              <w:tc>
                <w:tcPr>
                  <w:tcW w:w="2157" w:type="dxa"/>
                  <w:shd w:val="clear" w:color="auto" w:fill="auto"/>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故障等级</w:t>
                  </w:r>
                </w:p>
              </w:tc>
              <w:tc>
                <w:tcPr>
                  <w:tcW w:w="2157" w:type="dxa"/>
                  <w:shd w:val="clear" w:color="auto" w:fill="auto"/>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最后解决时限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58"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最高</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58"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高</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58"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5个小时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58"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低</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6个小时</w:t>
                  </w:r>
                </w:p>
              </w:tc>
            </w:tr>
          </w:tbl>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事件分析时间：</w:t>
            </w:r>
          </w:p>
          <w:tbl>
            <w:tblPr>
              <w:tblStyle w:val="42"/>
              <w:tblW w:w="6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2166"/>
              <w:gridCol w:w="2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67" w:type="dxa"/>
                  <w:shd w:val="clear" w:color="auto" w:fill="auto"/>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编号</w:t>
                  </w:r>
                </w:p>
              </w:tc>
              <w:tc>
                <w:tcPr>
                  <w:tcW w:w="2166" w:type="dxa"/>
                  <w:shd w:val="clear" w:color="auto" w:fill="auto"/>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优先级代码</w:t>
                  </w:r>
                </w:p>
              </w:tc>
              <w:tc>
                <w:tcPr>
                  <w:tcW w:w="2166" w:type="dxa"/>
                  <w:shd w:val="clear" w:color="auto" w:fill="auto"/>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最后解决时限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6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最高</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6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高</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6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5个小时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6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低</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6个小时</w:t>
                  </w:r>
                </w:p>
              </w:tc>
            </w:tr>
          </w:tbl>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四、广西农情信息管理系统安全整改服务</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按照自治区政府安全整改要求，及时响应并完成安全整改工作。</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1.漏洞修复时效要求：高风险等级漏洞：收到报告后3个工作日内完成修复；中低风险等级漏洞：收到报告后两周内完成修复。</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2.完成修复后须向采购方提交完整的安全整改报告，如遇到系统较大版本升级改动等特殊情况需要延期解决，需在安全整改报告中说明，并给出具体完成修复时间。</w:t>
            </w:r>
          </w:p>
          <w:p>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五、文档编写服务</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在进行系统重大更新、数据处理或版本升级等操作前，必须向采购方提交包含完整解决方案和风险评估报告的技术文档，经采购方审核确认后方可实施；执行过程中应根据操作复杂程度安排采购方参与关键环节协作，若遇方案调整需重新提交修订文档并获得书面确认。</w:t>
            </w:r>
          </w:p>
          <w:p>
            <w:pPr>
              <w:spacing w:line="440" w:lineRule="exact"/>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六、系统调优服务。</w:t>
            </w:r>
            <w:r>
              <w:rPr>
                <w:rFonts w:hint="eastAsia" w:ascii="宋体" w:hAnsi="宋体" w:cs="宋体"/>
                <w:color w:val="auto"/>
                <w:szCs w:val="21"/>
                <w:highlight w:val="none"/>
              </w:rPr>
              <w:t>按照采购方要求，对系统部分指标、模块进行调优。</w:t>
            </w:r>
            <w:bookmarkEnd w:id="4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96" w:type="dxa"/>
            <w:gridSpan w:val="6"/>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color w:val="auto"/>
                <w:szCs w:val="21"/>
                <w:highlight w:val="none"/>
              </w:rPr>
            </w:pPr>
            <w:r>
              <w:rPr>
                <w:rFonts w:hint="eastAsia" w:ascii="宋体" w:hAnsi="宋体" w:cs="宋体"/>
                <w:b/>
                <w:color w:val="auto"/>
                <w:szCs w:val="21"/>
                <w:highlight w:val="none"/>
              </w:rPr>
              <w:t>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r>
              <w:rPr>
                <w:rFonts w:hint="eastAsia" w:ascii="宋体" w:hAnsi="宋体" w:cs="宋体"/>
                <w:b/>
                <w:bCs/>
                <w:color w:val="auto"/>
                <w:szCs w:val="21"/>
                <w:highlight w:val="none"/>
              </w:rPr>
              <w:t>▲</w:t>
            </w:r>
            <w:r>
              <w:rPr>
                <w:rFonts w:hint="eastAsia" w:ascii="宋体" w:hAnsi="宋体" w:cs="宋体"/>
                <w:bCs/>
                <w:color w:val="auto"/>
                <w:szCs w:val="21"/>
                <w:highlight w:val="none"/>
              </w:rPr>
              <w:t>磋商报价要求</w:t>
            </w:r>
          </w:p>
        </w:tc>
        <w:tc>
          <w:tcPr>
            <w:tcW w:w="8496" w:type="dxa"/>
            <w:gridSpan w:val="3"/>
            <w:tcBorders>
              <w:top w:val="single" w:color="auto" w:sz="4" w:space="0"/>
              <w:left w:val="single" w:color="auto" w:sz="4" w:space="0"/>
              <w:bottom w:val="single" w:color="auto" w:sz="4" w:space="0"/>
              <w:right w:val="single" w:color="auto" w:sz="4" w:space="0"/>
            </w:tcBorders>
            <w:vAlign w:val="center"/>
          </w:tcPr>
          <w:p>
            <w:pPr>
              <w:pStyle w:val="19"/>
              <w:spacing w:after="0" w:line="440" w:lineRule="exact"/>
              <w:rPr>
                <w:rFonts w:ascii="宋体" w:hAnsi="宋体" w:cs="宋体"/>
                <w:color w:val="auto"/>
                <w:szCs w:val="21"/>
                <w:highlight w:val="none"/>
              </w:rPr>
            </w:pPr>
            <w:r>
              <w:rPr>
                <w:rFonts w:hint="eastAsia" w:ascii="宋体" w:hAnsi="宋体" w:cs="宋体"/>
                <w:color w:val="auto"/>
                <w:szCs w:val="21"/>
                <w:highlight w:val="none"/>
              </w:rPr>
              <w:t>报价包括完成本项目“项目需求”中所列所有服务内容产生的所有成本、项目验收、税金、利润等费用，采购人不再另行支付任何费用。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合同履行期限和地点</w:t>
            </w:r>
          </w:p>
        </w:tc>
        <w:tc>
          <w:tcPr>
            <w:tcW w:w="8496"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1.合同履行期限： </w:t>
            </w:r>
            <w:bookmarkStart w:id="51" w:name="OLE_LINK50"/>
            <w:r>
              <w:rPr>
                <w:rFonts w:hint="eastAsia" w:ascii="宋体" w:hAnsi="宋体" w:cs="宋体"/>
                <w:color w:val="auto"/>
                <w:szCs w:val="21"/>
                <w:highlight w:val="none"/>
              </w:rPr>
              <w:t>2025年7月</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日—2026年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日；</w:t>
            </w:r>
            <w:bookmarkEnd w:id="51"/>
          </w:p>
          <w:p>
            <w:pPr>
              <w:pStyle w:val="19"/>
              <w:spacing w:after="0" w:line="440" w:lineRule="exact"/>
              <w:rPr>
                <w:rFonts w:ascii="宋体" w:hAnsi="宋体" w:cs="宋体"/>
                <w:color w:val="auto"/>
                <w:szCs w:val="21"/>
                <w:highlight w:val="none"/>
              </w:rPr>
            </w:pPr>
            <w:r>
              <w:rPr>
                <w:rFonts w:hint="eastAsia" w:ascii="宋体" w:hAnsi="宋体" w:cs="宋体"/>
                <w:color w:val="auto"/>
                <w:szCs w:val="21"/>
                <w:highlight w:val="none"/>
              </w:rPr>
              <w:t>2.广西区内采购人指定地点。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付款条件</w:t>
            </w:r>
          </w:p>
        </w:tc>
        <w:tc>
          <w:tcPr>
            <w:tcW w:w="8496"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b/>
                <w:color w:val="auto"/>
                <w:szCs w:val="21"/>
                <w:highlight w:val="none"/>
              </w:rPr>
            </w:pPr>
            <w:bookmarkStart w:id="52" w:name="OLE_LINK51"/>
            <w:r>
              <w:rPr>
                <w:rFonts w:hint="eastAsia" w:ascii="宋体" w:hAnsi="宋体" w:cs="宋体"/>
                <w:bCs/>
                <w:color w:val="auto"/>
                <w:szCs w:val="21"/>
                <w:highlight w:val="none"/>
              </w:rPr>
              <w:t>采购人应于合同签订后20个工作日内，向成交供应商支付合同款的30%作为定金</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供应商持续提供运维服务满2个月后，采购人向供应商支付剩余60%合同款；待项目通过年度验收并确认合格后，采购人向供应商支付剩余10%合同款。成交供应商应于每次收到合同款后3个工作日内，向采购人出具合法有效的增值税专用发票，发票金额须与当次收款金额完全相符。</w:t>
            </w:r>
            <w:bookmarkEnd w:id="5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bookmarkStart w:id="53" w:name="OLE_LINK52" w:colFirst="1" w:colLast="1"/>
            <w:r>
              <w:rPr>
                <w:rFonts w:hint="eastAsia" w:ascii="宋体" w:hAnsi="宋体" w:cs="宋体"/>
                <w:color w:val="auto"/>
                <w:szCs w:val="21"/>
                <w:highlight w:val="none"/>
              </w:rPr>
              <w:t>▲售后服务</w:t>
            </w:r>
          </w:p>
        </w:tc>
        <w:tc>
          <w:tcPr>
            <w:tcW w:w="8496"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宋体" w:hAnsi="宋体" w:cs="宋体"/>
                <w:color w:val="auto"/>
                <w:szCs w:val="21"/>
                <w:highlight w:val="none"/>
              </w:rPr>
            </w:pPr>
            <w:bookmarkStart w:id="54" w:name="OLE_LINK54"/>
            <w:r>
              <w:rPr>
                <w:rFonts w:hint="eastAsia" w:ascii="宋体" w:hAnsi="宋体" w:cs="宋体"/>
                <w:color w:val="auto"/>
                <w:szCs w:val="21"/>
                <w:highlight w:val="none"/>
              </w:rPr>
              <w:t>1.售后服务：</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（1）质量保证期内按采购人指定的地点上门服务</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上门服务费用包含在报价中</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（2）服务期内提供7×24小时电话技术支持（包含电话、邮件、远程桌面支持等）</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（3）接到系统故障或配表任务通知后，工作日10分钟响应，必要时1小时内到现场，非工作日30分钟响应，必要时2小时内到达现场。</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（4）定期回访；</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2.在质量保证期内，通过热线咨询电话、呼叫中心方式实现电话技术支持，提供日常系统疑问咨询解答，帮助业务人员顺利完成系统日常运作。</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3.在质量保证期内，通过在线帮助中心、电子邮件、QQ网络技术支持，及时在线解答采购单位人员咨询疑问。</w:t>
            </w:r>
            <w:bookmarkEnd w:id="54"/>
          </w:p>
        </w:tc>
      </w:tr>
      <w:bookmarkEnd w:id="53"/>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其他要求</w:t>
            </w:r>
          </w:p>
        </w:tc>
        <w:tc>
          <w:tcPr>
            <w:tcW w:w="8496" w:type="dxa"/>
            <w:gridSpan w:val="3"/>
            <w:tcBorders>
              <w:top w:val="single" w:color="auto" w:sz="4" w:space="0"/>
              <w:left w:val="single" w:color="auto" w:sz="4" w:space="0"/>
              <w:bottom w:val="single" w:color="auto" w:sz="4" w:space="0"/>
              <w:right w:val="single" w:color="auto" w:sz="4" w:space="0"/>
            </w:tcBorders>
            <w:vAlign w:val="center"/>
          </w:tcPr>
          <w:p>
            <w:pPr>
              <w:pStyle w:val="213"/>
              <w:spacing w:before="0" w:after="0" w:line="440" w:lineRule="exact"/>
              <w:rPr>
                <w:rFonts w:ascii="宋体" w:hAnsi="宋体" w:cs="宋体"/>
                <w:bCs w:val="0"/>
                <w:color w:val="auto"/>
                <w:spacing w:val="0"/>
                <w:kern w:val="2"/>
                <w:sz w:val="21"/>
                <w:szCs w:val="21"/>
                <w:highlight w:val="none"/>
              </w:rPr>
            </w:pPr>
            <w:bookmarkStart w:id="55" w:name="OLE_LINK53"/>
            <w:r>
              <w:rPr>
                <w:rFonts w:hint="eastAsia" w:ascii="宋体" w:hAnsi="宋体" w:cs="宋体"/>
                <w:bCs w:val="0"/>
                <w:color w:val="auto"/>
                <w:spacing w:val="0"/>
                <w:kern w:val="2"/>
                <w:sz w:val="21"/>
                <w:szCs w:val="21"/>
                <w:highlight w:val="none"/>
              </w:rPr>
              <w:t>1.版权归属：应用软件版权归广西壮族自治区农业信息中心所有，本项目采购软件或基于开源软件所涉及的二次开发部分知识产权归采购人所有。</w:t>
            </w:r>
          </w:p>
          <w:p>
            <w:pPr>
              <w:pStyle w:val="213"/>
              <w:spacing w:before="0" w:after="0" w:line="440" w:lineRule="exact"/>
              <w:rPr>
                <w:rFonts w:ascii="宋体" w:hAnsi="宋体" w:cs="宋体"/>
                <w:bCs w:val="0"/>
                <w:color w:val="auto"/>
                <w:spacing w:val="0"/>
                <w:kern w:val="2"/>
                <w:sz w:val="21"/>
                <w:szCs w:val="21"/>
                <w:highlight w:val="none"/>
              </w:rPr>
            </w:pPr>
            <w:r>
              <w:rPr>
                <w:rFonts w:hint="eastAsia" w:ascii="宋体" w:hAnsi="宋体" w:cs="宋体"/>
                <w:bCs w:val="0"/>
                <w:color w:val="auto"/>
                <w:spacing w:val="0"/>
                <w:kern w:val="2"/>
                <w:sz w:val="21"/>
                <w:szCs w:val="21"/>
                <w:highlight w:val="none"/>
              </w:rPr>
              <w:t>2.供应商请在响应文件中提供具体的服务方案和服务机构的详细情况（包括服务机构的地址、服务人员姓名、联系方式等）。</w:t>
            </w:r>
            <w:bookmarkEnd w:id="55"/>
          </w:p>
        </w:tc>
      </w:tr>
    </w:tbl>
    <w:p>
      <w:pPr>
        <w:pStyle w:val="19"/>
        <w:spacing w:line="440" w:lineRule="exact"/>
        <w:rPr>
          <w:rFonts w:ascii="宋体" w:hAnsi="宋体" w:cs="宋体"/>
          <w:b/>
          <w:color w:val="auto"/>
          <w:sz w:val="24"/>
          <w:highlight w:val="none"/>
        </w:rPr>
        <w:sectPr>
          <w:pgSz w:w="11906" w:h="16838"/>
          <w:pgMar w:top="1134" w:right="1247" w:bottom="1134" w:left="1247" w:header="851" w:footer="992" w:gutter="0"/>
          <w:cols w:space="720" w:num="1"/>
          <w:docGrid w:linePitch="312" w:charSpace="0"/>
        </w:sectPr>
      </w:pPr>
    </w:p>
    <w:p>
      <w:pPr>
        <w:pStyle w:val="5"/>
        <w:spacing w:before="0" w:after="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标项五</w:t>
      </w:r>
    </w:p>
    <w:tbl>
      <w:tblPr>
        <w:tblStyle w:val="41"/>
        <w:tblW w:w="105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445"/>
        <w:gridCol w:w="68"/>
        <w:gridCol w:w="934"/>
        <w:gridCol w:w="666"/>
        <w:gridCol w:w="6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655" w:type="dxa"/>
            <w:vAlign w:val="center"/>
          </w:tcPr>
          <w:p>
            <w:pPr>
              <w:tabs>
                <w:tab w:val="left" w:pos="180"/>
                <w:tab w:val="left" w:pos="1620"/>
              </w:tabs>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513" w:type="dxa"/>
            <w:gridSpan w:val="2"/>
            <w:vAlign w:val="center"/>
          </w:tcPr>
          <w:p>
            <w:pPr>
              <w:tabs>
                <w:tab w:val="left" w:pos="180"/>
                <w:tab w:val="left" w:pos="1620"/>
              </w:tabs>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标的名称</w:t>
            </w:r>
          </w:p>
        </w:tc>
        <w:tc>
          <w:tcPr>
            <w:tcW w:w="934" w:type="dxa"/>
            <w:vAlign w:val="center"/>
          </w:tcPr>
          <w:p>
            <w:pPr>
              <w:tabs>
                <w:tab w:val="left" w:pos="180"/>
                <w:tab w:val="left" w:pos="1620"/>
              </w:tabs>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数量及单位</w:t>
            </w:r>
          </w:p>
        </w:tc>
        <w:tc>
          <w:tcPr>
            <w:tcW w:w="666" w:type="dxa"/>
            <w:vAlign w:val="center"/>
          </w:tcPr>
          <w:p>
            <w:pPr>
              <w:tabs>
                <w:tab w:val="left" w:pos="180"/>
                <w:tab w:val="left" w:pos="1620"/>
              </w:tabs>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所属</w:t>
            </w:r>
          </w:p>
          <w:p>
            <w:pPr>
              <w:tabs>
                <w:tab w:val="left" w:pos="180"/>
                <w:tab w:val="left" w:pos="1620"/>
              </w:tabs>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行业</w:t>
            </w:r>
          </w:p>
        </w:tc>
        <w:tc>
          <w:tcPr>
            <w:tcW w:w="6828" w:type="dxa"/>
            <w:vAlign w:val="center"/>
          </w:tcPr>
          <w:p>
            <w:pPr>
              <w:tabs>
                <w:tab w:val="left" w:pos="180"/>
                <w:tab w:val="left" w:pos="1620"/>
              </w:tabs>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655" w:type="dxa"/>
            <w:vAlign w:val="center"/>
          </w:tcPr>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513" w:type="dxa"/>
            <w:gridSpan w:val="2"/>
            <w:vAlign w:val="center"/>
          </w:tcPr>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广西农业自然灾害预警监控系统运维服务</w:t>
            </w:r>
          </w:p>
        </w:tc>
        <w:tc>
          <w:tcPr>
            <w:tcW w:w="934" w:type="dxa"/>
            <w:vAlign w:val="center"/>
          </w:tcPr>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666" w:type="dxa"/>
            <w:vAlign w:val="center"/>
          </w:tcPr>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软件和信息技术服务业</w:t>
            </w:r>
          </w:p>
        </w:tc>
        <w:tc>
          <w:tcPr>
            <w:tcW w:w="6828" w:type="dxa"/>
            <w:vAlign w:val="center"/>
          </w:tcPr>
          <w:p>
            <w:pPr>
              <w:spacing w:line="440" w:lineRule="exact"/>
              <w:ind w:firstLine="420" w:firstLineChars="200"/>
              <w:jc w:val="left"/>
              <w:rPr>
                <w:rFonts w:ascii="宋体" w:hAnsi="宋体" w:cs="宋体"/>
                <w:color w:val="auto"/>
                <w:szCs w:val="21"/>
                <w:highlight w:val="none"/>
              </w:rPr>
            </w:pPr>
            <w:bookmarkStart w:id="56" w:name="OLE_LINK44"/>
            <w:r>
              <w:rPr>
                <w:rFonts w:hint="eastAsia" w:ascii="宋体" w:hAnsi="宋体" w:cs="宋体"/>
                <w:color w:val="auto"/>
                <w:szCs w:val="21"/>
                <w:highlight w:val="none"/>
              </w:rPr>
              <w:t>依据广西农业自然灾害预警监控系统（以下简称系统）技术保障要求，对系统实施运行维护。</w:t>
            </w:r>
          </w:p>
          <w:p>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一、</w:t>
            </w:r>
            <w:bookmarkStart w:id="57" w:name="OLE_LINK49"/>
            <w:r>
              <w:rPr>
                <w:rFonts w:hint="eastAsia" w:ascii="宋体" w:hAnsi="宋体" w:cs="宋体"/>
                <w:b/>
                <w:bCs/>
                <w:color w:val="auto"/>
                <w:szCs w:val="21"/>
                <w:highlight w:val="none"/>
              </w:rPr>
              <w:t>广西农业自然灾害预警监控系统</w:t>
            </w:r>
            <w:bookmarkEnd w:id="57"/>
            <w:r>
              <w:rPr>
                <w:rFonts w:hint="eastAsia" w:ascii="宋体" w:hAnsi="宋体" w:cs="宋体"/>
                <w:b/>
                <w:bCs/>
                <w:color w:val="auto"/>
                <w:szCs w:val="21"/>
                <w:highlight w:val="none"/>
              </w:rPr>
              <w:t>运行维护服务</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1.每月对系统服务器代码实施备份，并定期对服务器软硬件及网络环境开展监控及维护。</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2.每周对系统开展例行巡检，重点检查以下内容运行状态是否正常：①服务器设备：硬件设备、操作系统、中间件等；②软件设备：系统环境、数据库环境、系统配套服务等；③安全防护系统等。针对发现的异常和隐患，及时实施系统安全漏洞加固和补丁修补。</w:t>
            </w:r>
          </w:p>
          <w:p>
            <w:pPr>
              <w:spacing w:line="44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3.每月核查系统数据、文件等服务器资源占用情况，并根据核查结果编制资源分析报告。</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4.每月开展系统安全维护及数据备份工作。数据备份包括系统数据库备份与正文附件备份。</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5.负责系统的补丁更新及测试工作，确保更新顺利进行，保障系统稳定运行。</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6.掌握系统环境和功能，记录服务器及相关设备的配置信息，存档并及时更新变动。</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7.服务器台账记录：所有服务器代码修改、功能调整及配置变更等操作，需记录在台账中。</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8.负责系统微信小程序客户端的维护，确保其平稳运行。</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9.及时解决客户端使用过程中遇到的系统故障。</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10.按照采购方需求，对系统原有功能进行小范围调整及维护，并配合采购方，就新增功能的使用向客户端提供培训及讲解。</w:t>
            </w:r>
          </w:p>
          <w:p>
            <w:pPr>
              <w:spacing w:line="440" w:lineRule="exact"/>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协助</w:t>
            </w:r>
            <w:r>
              <w:rPr>
                <w:rFonts w:hint="eastAsia" w:ascii="宋体" w:hAnsi="宋体" w:cs="宋体"/>
                <w:color w:val="auto"/>
                <w:szCs w:val="21"/>
                <w:highlight w:val="none"/>
                <w:lang w:eastAsia="zh-CN"/>
              </w:rPr>
              <w:t>采购方</w:t>
            </w:r>
            <w:r>
              <w:rPr>
                <w:rFonts w:hint="eastAsia" w:ascii="宋体" w:hAnsi="宋体" w:cs="宋体"/>
                <w:color w:val="auto"/>
                <w:szCs w:val="21"/>
                <w:highlight w:val="none"/>
              </w:rPr>
              <w:t>到各个部门调研需求并提供相应的需求报告，为信息化项目提供咨询服务。</w:t>
            </w:r>
          </w:p>
          <w:p>
            <w:pPr>
              <w:spacing w:line="440" w:lineRule="exact"/>
              <w:ind w:firstLine="422" w:firstLineChars="200"/>
              <w:rPr>
                <w:rFonts w:ascii="宋体" w:hAnsi="宋体" w:cs="宋体"/>
                <w:color w:val="auto"/>
                <w:szCs w:val="21"/>
                <w:highlight w:val="none"/>
              </w:rPr>
            </w:pPr>
            <w:r>
              <w:rPr>
                <w:rFonts w:hint="eastAsia" w:ascii="宋体" w:hAnsi="宋体" w:cs="宋体"/>
                <w:b/>
                <w:bCs/>
                <w:color w:val="auto"/>
                <w:szCs w:val="21"/>
                <w:highlight w:val="none"/>
              </w:rPr>
              <w:t>二、广西农业自然灾害预警监控系统保障服务</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1.人员管理要求</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1.1服务人员要求</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安排至少1名熟悉应用业务的运维技术工程师，负责系统运行维护和农情进度报表配置工作。</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1.1人员资质要求</w:t>
            </w:r>
          </w:p>
          <w:p>
            <w:pPr>
              <w:spacing w:line="440" w:lineRule="exact"/>
              <w:jc w:val="left"/>
              <w:rPr>
                <w:rFonts w:ascii="宋体" w:hAnsi="宋体" w:cs="宋体"/>
                <w:color w:val="auto"/>
                <w:szCs w:val="21"/>
                <w:highlight w:val="none"/>
              </w:rPr>
            </w:pPr>
            <w:bookmarkStart w:id="58" w:name="OLE_LINK11"/>
            <w:r>
              <w:rPr>
                <w:rFonts w:hint="eastAsia" w:ascii="宋体" w:hAnsi="宋体" w:cs="宋体"/>
                <w:color w:val="auto"/>
                <w:szCs w:val="21"/>
                <w:highlight w:val="none"/>
              </w:rPr>
              <w:t>运维技术工程师应具备计算机相关专业，有1年以上系统运维经验。运维人员需开展岗前培训并测试合格后方可进驻项目服务，</w:t>
            </w:r>
            <w:r>
              <w:rPr>
                <w:rFonts w:hint="eastAsia" w:ascii="宋体" w:hAnsi="宋体" w:cs="宋体"/>
                <w:color w:val="auto"/>
                <w:szCs w:val="21"/>
                <w:highlight w:val="none"/>
                <w:lang w:eastAsia="zh-CN"/>
              </w:rPr>
              <w:t>需</w:t>
            </w:r>
            <w:r>
              <w:rPr>
                <w:rFonts w:hint="eastAsia" w:ascii="宋体" w:hAnsi="宋体" w:cs="宋体"/>
                <w:color w:val="auto"/>
                <w:szCs w:val="21"/>
                <w:highlight w:val="none"/>
              </w:rPr>
              <w:t>拥有良好的沟通协调能力，能够及时接收并处理采购方反馈的问题，对于无法立即解决的问题，需在第一时间向对应技术人员或项目经理进行反馈。</w:t>
            </w:r>
          </w:p>
          <w:bookmarkEnd w:id="58"/>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1.2人员流动性要求</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未经采购方同意，在合同期内不得更换运维技术工程师。</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1.3工作职责要求</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①提供7×24小时电话技术支持（包含电话、邮件、远程桌面支持等），接到系统故障或配表任务通知后，工作日10分钟响应，必要时1小时内到现场，非工作日30分钟响应，必要时2小时内到达现场。如系统临时有突发任务时，供应商需及时调配足够人手，确保按时按质按量完成项目需求。</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②严格执行采购方各项管理制度，包括但不限于文档管理、办公场所规范、考勤制度、评估机制、着装标准及语言规范；</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③对重大故障需立即向采购方报备，并按规范要求及时提交书面故障分析报告；</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④定期向采购方提交技术文档，包括问题总结报告、系统优化方案及日常维护记录；</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⑤每月编制并提交采购方反馈问题汇总及处理情况统计表；</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⑥保持与采购方的常态化沟通，及时跟进落实采购方提出的改进建议与工作要求。</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2.故障管理服务级别</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最高：由于应用系统故障造成应用系统停止运行，对采购方的业务运行造成严重影响。</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高：应用系统性能严重受损，或出现的应用系统故障影响应用系统正常运行。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中：应用系统性能受损，或偶尔出现的应用系统故障，但应用系统仍可运行。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低：需要对应用系统涉及产品的安装、配置、调整、升级方面的信息及支特服务。</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故障响应时间：</w:t>
            </w:r>
          </w:p>
          <w:tbl>
            <w:tblPr>
              <w:tblStyle w:val="42"/>
              <w:tblW w:w="6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4"/>
              <w:gridCol w:w="2134"/>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34" w:type="dxa"/>
                  <w:shd w:val="clear" w:color="auto" w:fill="auto"/>
                  <w:vAlign w:val="center"/>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编号</w:t>
                  </w:r>
                </w:p>
              </w:tc>
              <w:tc>
                <w:tcPr>
                  <w:tcW w:w="2134" w:type="dxa"/>
                  <w:shd w:val="clear" w:color="auto" w:fill="auto"/>
                  <w:vAlign w:val="center"/>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故障等级</w:t>
                  </w:r>
                </w:p>
              </w:tc>
              <w:tc>
                <w:tcPr>
                  <w:tcW w:w="2134" w:type="dxa"/>
                  <w:shd w:val="clear" w:color="auto" w:fill="auto"/>
                  <w:vAlign w:val="center"/>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故障响应时间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最高</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高</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低</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30分钟</w:t>
                  </w:r>
                </w:p>
              </w:tc>
            </w:tr>
          </w:tbl>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业务恢复时间：</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8"/>
              <w:gridCol w:w="2157"/>
              <w:gridCol w:w="2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58" w:type="dxa"/>
                  <w:shd w:val="clear" w:color="auto" w:fill="auto"/>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编号</w:t>
                  </w:r>
                </w:p>
              </w:tc>
              <w:tc>
                <w:tcPr>
                  <w:tcW w:w="2157" w:type="dxa"/>
                  <w:shd w:val="clear" w:color="auto" w:fill="auto"/>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故障等级</w:t>
                  </w:r>
                </w:p>
              </w:tc>
              <w:tc>
                <w:tcPr>
                  <w:tcW w:w="2157" w:type="dxa"/>
                  <w:shd w:val="clear" w:color="auto" w:fill="auto"/>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最后解决时限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58"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最高</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58"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高</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58"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5个小时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58"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低</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6个小时</w:t>
                  </w:r>
                </w:p>
              </w:tc>
            </w:tr>
          </w:tbl>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事件分析时间：</w:t>
            </w:r>
          </w:p>
          <w:tbl>
            <w:tblPr>
              <w:tblStyle w:val="42"/>
              <w:tblW w:w="6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2166"/>
              <w:gridCol w:w="2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67" w:type="dxa"/>
                  <w:shd w:val="clear" w:color="auto" w:fill="auto"/>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编号</w:t>
                  </w:r>
                </w:p>
              </w:tc>
              <w:tc>
                <w:tcPr>
                  <w:tcW w:w="2166" w:type="dxa"/>
                  <w:shd w:val="clear" w:color="auto" w:fill="auto"/>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优先级代码</w:t>
                  </w:r>
                </w:p>
              </w:tc>
              <w:tc>
                <w:tcPr>
                  <w:tcW w:w="2166" w:type="dxa"/>
                  <w:shd w:val="clear" w:color="auto" w:fill="auto"/>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最后解决时限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6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最高</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6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高</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6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5个小时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6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低</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6个小时</w:t>
                  </w:r>
                </w:p>
              </w:tc>
            </w:tr>
          </w:tbl>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三、广西农业自然灾害预警监控系统安全整改服务</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按照自治区政府安全整改要求，及时响应并完成安全整改工作。</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1.漏洞修复时效要求：高风险等级漏洞：收到报告后3个工作日内完成修复；中低风险等级漏洞：收到报告后两周内完成修复。</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2.完成修复后须向采购方提交完整的安全整改报告，如遇到系统较大版本升级改动等特殊情况需要延期解决，需在安全整改报告中说明，并给出具体完成修复时间。</w:t>
            </w:r>
          </w:p>
          <w:p>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四、文档编写服务</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在进行系统重大更新、数据处理或版本升级等操作前，必须向采购方提交包含完整解决方案和风险评估报告的技术文档，经采购方审核确认后方可实施；执行过程中应根据操作复杂程度安排采购方参与关键环节协作，若遇方案调整需重新提交修订文档并获得书面确认。</w:t>
            </w:r>
          </w:p>
          <w:p>
            <w:pPr>
              <w:spacing w:line="440" w:lineRule="exact"/>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五、系统调优服务。</w:t>
            </w:r>
            <w:r>
              <w:rPr>
                <w:rFonts w:hint="eastAsia" w:ascii="宋体" w:hAnsi="宋体" w:cs="宋体"/>
                <w:color w:val="auto"/>
                <w:szCs w:val="21"/>
                <w:highlight w:val="none"/>
              </w:rPr>
              <w:t>按照采购方要求，对系统部分指标、模块进行调优。</w:t>
            </w:r>
            <w:bookmarkEnd w:id="56"/>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96" w:type="dxa"/>
            <w:gridSpan w:val="6"/>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color w:val="auto"/>
                <w:szCs w:val="21"/>
                <w:highlight w:val="none"/>
              </w:rPr>
            </w:pPr>
            <w:r>
              <w:rPr>
                <w:rFonts w:hint="eastAsia" w:ascii="宋体" w:hAnsi="宋体" w:cs="宋体"/>
                <w:b/>
                <w:color w:val="auto"/>
                <w:szCs w:val="21"/>
                <w:highlight w:val="none"/>
              </w:rPr>
              <w:t>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r>
              <w:rPr>
                <w:rFonts w:hint="eastAsia" w:ascii="宋体" w:hAnsi="宋体" w:cs="宋体"/>
                <w:b/>
                <w:bCs/>
                <w:color w:val="auto"/>
                <w:szCs w:val="21"/>
                <w:highlight w:val="none"/>
              </w:rPr>
              <w:t>▲</w:t>
            </w:r>
            <w:r>
              <w:rPr>
                <w:rFonts w:hint="eastAsia" w:ascii="宋体" w:hAnsi="宋体" w:cs="宋体"/>
                <w:bCs/>
                <w:color w:val="auto"/>
                <w:szCs w:val="21"/>
                <w:highlight w:val="none"/>
              </w:rPr>
              <w:t>磋商报价要求</w:t>
            </w:r>
          </w:p>
        </w:tc>
        <w:tc>
          <w:tcPr>
            <w:tcW w:w="8496" w:type="dxa"/>
            <w:gridSpan w:val="4"/>
            <w:tcBorders>
              <w:top w:val="single" w:color="auto" w:sz="4" w:space="0"/>
              <w:left w:val="single" w:color="auto" w:sz="4" w:space="0"/>
              <w:bottom w:val="single" w:color="auto" w:sz="4" w:space="0"/>
              <w:right w:val="single" w:color="auto" w:sz="4" w:space="0"/>
            </w:tcBorders>
            <w:vAlign w:val="center"/>
          </w:tcPr>
          <w:p>
            <w:pPr>
              <w:pStyle w:val="19"/>
              <w:spacing w:after="0" w:line="440" w:lineRule="exact"/>
              <w:rPr>
                <w:rFonts w:ascii="宋体" w:hAnsi="宋体" w:cs="宋体"/>
                <w:color w:val="auto"/>
                <w:szCs w:val="21"/>
                <w:highlight w:val="none"/>
              </w:rPr>
            </w:pPr>
            <w:r>
              <w:rPr>
                <w:rFonts w:hint="eastAsia" w:ascii="宋体" w:hAnsi="宋体" w:cs="宋体"/>
                <w:color w:val="auto"/>
                <w:szCs w:val="21"/>
                <w:highlight w:val="none"/>
              </w:rPr>
              <w:t>报价包括完成本项目“项目需求”中所列所有服务内容产生的所有成本、项目验收、税金、利润等费用，采购人不再另行支付任何费用。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合同履行期限和地点</w:t>
            </w:r>
          </w:p>
        </w:tc>
        <w:tc>
          <w:tcPr>
            <w:tcW w:w="8496"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1.合同履行期限：</w:t>
            </w:r>
            <w:bookmarkStart w:id="59" w:name="OLE_LINK45"/>
            <w:r>
              <w:rPr>
                <w:rFonts w:hint="eastAsia" w:ascii="宋体" w:hAnsi="宋体" w:cs="宋体"/>
                <w:color w:val="auto"/>
                <w:szCs w:val="21"/>
                <w:highlight w:val="none"/>
              </w:rPr>
              <w:t>2025年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日—2026年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日</w:t>
            </w:r>
            <w:bookmarkEnd w:id="59"/>
            <w:r>
              <w:rPr>
                <w:rFonts w:hint="eastAsia" w:ascii="宋体" w:hAnsi="宋体" w:cs="宋体"/>
                <w:color w:val="auto"/>
                <w:szCs w:val="21"/>
                <w:highlight w:val="none"/>
              </w:rPr>
              <w:t>；</w:t>
            </w:r>
          </w:p>
          <w:p>
            <w:pPr>
              <w:pStyle w:val="19"/>
              <w:spacing w:after="0" w:line="440" w:lineRule="exact"/>
              <w:rPr>
                <w:rFonts w:ascii="宋体" w:hAnsi="宋体" w:cs="宋体"/>
                <w:color w:val="auto"/>
                <w:szCs w:val="21"/>
                <w:highlight w:val="none"/>
              </w:rPr>
            </w:pPr>
            <w:r>
              <w:rPr>
                <w:rFonts w:hint="eastAsia" w:ascii="宋体" w:hAnsi="宋体" w:cs="宋体"/>
                <w:color w:val="auto"/>
                <w:szCs w:val="21"/>
                <w:highlight w:val="none"/>
              </w:rPr>
              <w:t>2.广西区内采购人指定地点。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付款条件</w:t>
            </w:r>
          </w:p>
        </w:tc>
        <w:tc>
          <w:tcPr>
            <w:tcW w:w="8496"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b/>
                <w:color w:val="auto"/>
                <w:szCs w:val="21"/>
                <w:highlight w:val="none"/>
              </w:rPr>
            </w:pPr>
            <w:bookmarkStart w:id="60" w:name="OLE_LINK46"/>
            <w:r>
              <w:rPr>
                <w:rFonts w:hint="eastAsia" w:ascii="宋体" w:hAnsi="宋体" w:cs="宋体"/>
                <w:bCs/>
                <w:color w:val="auto"/>
                <w:szCs w:val="21"/>
                <w:highlight w:val="none"/>
              </w:rPr>
              <w:t>采购人应于合同签订后20个工作日内，向成交供应商支付合同款的30%作为定金</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供应商持续提供运维服务满2个月后，采购人向供应商支付剩余60%合同款；待项目通过年度验收并确认合格后，采购人向供应商支付剩余10%合同款。成交供应商应于每次收到合同款后3个工作日内，向采购人出具合法有效的增值税专用发票，发票金额须与当次收款金额完全相符。</w:t>
            </w:r>
            <w:bookmarkEnd w:id="6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r>
              <w:rPr>
                <w:rFonts w:hint="eastAsia" w:ascii="宋体" w:hAnsi="宋体" w:cs="宋体"/>
                <w:color w:val="auto"/>
                <w:szCs w:val="21"/>
                <w:highlight w:val="none"/>
              </w:rPr>
              <w:t>▲售后服务</w:t>
            </w:r>
          </w:p>
        </w:tc>
        <w:tc>
          <w:tcPr>
            <w:tcW w:w="8496"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宋体" w:hAnsi="宋体" w:cs="宋体"/>
                <w:color w:val="auto"/>
                <w:szCs w:val="21"/>
                <w:highlight w:val="none"/>
              </w:rPr>
            </w:pPr>
            <w:bookmarkStart w:id="61" w:name="OLE_LINK47"/>
            <w:r>
              <w:rPr>
                <w:rFonts w:hint="eastAsia" w:ascii="宋体" w:hAnsi="宋体" w:cs="宋体"/>
                <w:color w:val="auto"/>
                <w:szCs w:val="21"/>
                <w:highlight w:val="none"/>
              </w:rPr>
              <w:t>1.售后服务：</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（1）质量保证期内按采购人指定的地点上门服务</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上门服务费用包含在报价中</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（2）服务期内提供7×24小时电话技术支持（包含电话、邮件、远程桌面支持等）</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（3）接到系统故障通知后，工作日10分钟响应，必要时1小时内到现场，非工作日30分钟响应，必要时2小时内到达现场。</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（4）定期回访；</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2.在质量保证期内，通过热线咨询电话、呼叫中心方式实现电话技术支持，提供日常系统疑问咨询解答，帮助业务人员顺利完成系统日常运作。</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3.在质量保证期内，通过在线帮助中心、电子邮件、QQ网络技术支持，及时在线解答采购单位人员咨询疑问。</w:t>
            </w:r>
            <w:bookmarkEnd w:id="61"/>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其他要求</w:t>
            </w:r>
          </w:p>
        </w:tc>
        <w:tc>
          <w:tcPr>
            <w:tcW w:w="8496" w:type="dxa"/>
            <w:gridSpan w:val="4"/>
            <w:tcBorders>
              <w:top w:val="single" w:color="auto" w:sz="4" w:space="0"/>
              <w:left w:val="single" w:color="auto" w:sz="4" w:space="0"/>
              <w:bottom w:val="single" w:color="auto" w:sz="4" w:space="0"/>
              <w:right w:val="single" w:color="auto" w:sz="4" w:space="0"/>
            </w:tcBorders>
            <w:vAlign w:val="center"/>
          </w:tcPr>
          <w:p>
            <w:pPr>
              <w:pStyle w:val="213"/>
              <w:spacing w:before="0" w:after="0" w:line="440" w:lineRule="exact"/>
              <w:rPr>
                <w:rFonts w:ascii="宋体" w:hAnsi="宋体" w:cs="宋体"/>
                <w:bCs w:val="0"/>
                <w:color w:val="auto"/>
                <w:spacing w:val="0"/>
                <w:kern w:val="2"/>
                <w:sz w:val="21"/>
                <w:szCs w:val="21"/>
                <w:highlight w:val="none"/>
              </w:rPr>
            </w:pPr>
            <w:bookmarkStart w:id="62" w:name="OLE_LINK48"/>
            <w:r>
              <w:rPr>
                <w:rFonts w:hint="eastAsia" w:ascii="宋体" w:hAnsi="宋体" w:cs="宋体"/>
                <w:bCs w:val="0"/>
                <w:color w:val="auto"/>
                <w:spacing w:val="0"/>
                <w:kern w:val="2"/>
                <w:sz w:val="21"/>
                <w:szCs w:val="21"/>
                <w:highlight w:val="none"/>
              </w:rPr>
              <w:t>1.版权归属：应用软件版权归广西壮族自治区农业信息中心所有，本项目采购软件或基于开源软件所涉及的二次开发部分知识产权归采购人所有。</w:t>
            </w:r>
          </w:p>
          <w:p>
            <w:pPr>
              <w:pStyle w:val="213"/>
              <w:spacing w:before="0" w:after="0" w:line="440" w:lineRule="exact"/>
              <w:rPr>
                <w:rFonts w:ascii="宋体" w:hAnsi="宋体" w:cs="宋体"/>
                <w:bCs w:val="0"/>
                <w:color w:val="auto"/>
                <w:spacing w:val="0"/>
                <w:kern w:val="2"/>
                <w:sz w:val="21"/>
                <w:szCs w:val="21"/>
                <w:highlight w:val="none"/>
              </w:rPr>
            </w:pPr>
            <w:r>
              <w:rPr>
                <w:rFonts w:hint="eastAsia" w:ascii="宋体" w:hAnsi="宋体" w:cs="宋体"/>
                <w:bCs w:val="0"/>
                <w:color w:val="auto"/>
                <w:spacing w:val="0"/>
                <w:kern w:val="2"/>
                <w:sz w:val="21"/>
                <w:szCs w:val="21"/>
                <w:highlight w:val="none"/>
              </w:rPr>
              <w:t>2.供应商请在响应文件中提供具体的服务方案和服务机构的详细情况（包括服务机构的地址、服务人员姓名、联系方式等）。</w:t>
            </w:r>
            <w:bookmarkEnd w:id="62"/>
          </w:p>
        </w:tc>
      </w:tr>
    </w:tbl>
    <w:p>
      <w:pPr>
        <w:pStyle w:val="19"/>
        <w:spacing w:line="440" w:lineRule="exact"/>
        <w:rPr>
          <w:rFonts w:ascii="宋体" w:hAnsi="宋体" w:cs="宋体"/>
          <w:b/>
          <w:color w:val="auto"/>
          <w:sz w:val="24"/>
          <w:highlight w:val="none"/>
        </w:rPr>
        <w:sectPr>
          <w:pgSz w:w="11906" w:h="16838"/>
          <w:pgMar w:top="1134" w:right="1247" w:bottom="1134" w:left="1247" w:header="851" w:footer="992" w:gutter="0"/>
          <w:cols w:space="720" w:num="1"/>
          <w:docGrid w:linePitch="312" w:charSpace="0"/>
        </w:sectPr>
      </w:pPr>
    </w:p>
    <w:p>
      <w:pPr>
        <w:pStyle w:val="5"/>
        <w:spacing w:before="0" w:after="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标项六</w:t>
      </w:r>
    </w:p>
    <w:tbl>
      <w:tblPr>
        <w:tblStyle w:val="41"/>
        <w:tblW w:w="9534" w:type="dxa"/>
        <w:tblInd w:w="-4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8"/>
        <w:gridCol w:w="1435"/>
        <w:gridCol w:w="365"/>
        <w:gridCol w:w="603"/>
        <w:gridCol w:w="1065"/>
        <w:gridCol w:w="53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8" w:type="dxa"/>
            <w:vAlign w:val="center"/>
          </w:tcPr>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435" w:type="dxa"/>
            <w:vAlign w:val="center"/>
          </w:tcPr>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标的名称</w:t>
            </w:r>
          </w:p>
        </w:tc>
        <w:tc>
          <w:tcPr>
            <w:tcW w:w="968" w:type="dxa"/>
            <w:gridSpan w:val="2"/>
            <w:vAlign w:val="center"/>
          </w:tcPr>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数量及单位</w:t>
            </w:r>
          </w:p>
        </w:tc>
        <w:tc>
          <w:tcPr>
            <w:tcW w:w="1065" w:type="dxa"/>
            <w:vAlign w:val="center"/>
          </w:tcPr>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所属</w:t>
            </w:r>
          </w:p>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行业</w:t>
            </w:r>
          </w:p>
        </w:tc>
        <w:tc>
          <w:tcPr>
            <w:tcW w:w="5308" w:type="dxa"/>
            <w:vAlign w:val="center"/>
          </w:tcPr>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58" w:type="dxa"/>
            <w:vAlign w:val="center"/>
          </w:tcPr>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435" w:type="dxa"/>
            <w:vAlign w:val="center"/>
          </w:tcPr>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lang w:eastAsia="zh-CN" w:bidi="ar"/>
              </w:rPr>
              <w:t>广西壮族自治区</w:t>
            </w:r>
            <w:r>
              <w:rPr>
                <w:rFonts w:hint="eastAsia" w:ascii="宋体" w:hAnsi="宋体" w:cs="宋体"/>
                <w:color w:val="auto"/>
                <w:szCs w:val="21"/>
                <w:highlight w:val="none"/>
                <w:lang w:bidi="ar"/>
              </w:rPr>
              <w:t>粮食生产功能区管理平台运维服务（2025年度）</w:t>
            </w:r>
          </w:p>
        </w:tc>
        <w:tc>
          <w:tcPr>
            <w:tcW w:w="968" w:type="dxa"/>
            <w:gridSpan w:val="2"/>
            <w:vAlign w:val="center"/>
          </w:tcPr>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1065" w:type="dxa"/>
            <w:vAlign w:val="center"/>
          </w:tcPr>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软件和信息技术服务业</w:t>
            </w:r>
          </w:p>
        </w:tc>
        <w:tc>
          <w:tcPr>
            <w:tcW w:w="5308" w:type="dxa"/>
            <w:vAlign w:val="center"/>
          </w:tcPr>
          <w:p>
            <w:pPr>
              <w:spacing w:line="440" w:lineRule="exact"/>
              <w:ind w:firstLine="422" w:firstLineChars="200"/>
              <w:rPr>
                <w:rFonts w:ascii="宋体" w:hAnsi="宋体" w:cs="宋体"/>
                <w:b/>
                <w:bCs/>
                <w:color w:val="auto"/>
                <w:szCs w:val="21"/>
                <w:highlight w:val="none"/>
              </w:rPr>
            </w:pPr>
            <w:bookmarkStart w:id="63" w:name="_Toc16810"/>
            <w:r>
              <w:rPr>
                <w:rFonts w:hint="eastAsia" w:ascii="宋体" w:hAnsi="宋体" w:cs="宋体"/>
                <w:b/>
                <w:bCs/>
                <w:color w:val="auto"/>
                <w:szCs w:val="21"/>
                <w:highlight w:val="none"/>
              </w:rPr>
              <w:t>一、建设目的</w:t>
            </w:r>
            <w:bookmarkEnd w:id="63"/>
          </w:p>
          <w:p>
            <w:pPr>
              <w:spacing w:line="440" w:lineRule="exact"/>
              <w:ind w:firstLine="420" w:firstLineChars="200"/>
              <w:rPr>
                <w:rFonts w:ascii="宋体" w:hAnsi="宋体" w:cs="宋体"/>
                <w:color w:val="auto"/>
                <w:szCs w:val="21"/>
                <w:highlight w:val="none"/>
              </w:rPr>
            </w:pPr>
            <w:bookmarkStart w:id="64" w:name="_Toc6595"/>
            <w:r>
              <w:rPr>
                <w:rFonts w:hint="eastAsia" w:ascii="宋体" w:hAnsi="宋体" w:cs="宋体"/>
                <w:color w:val="auto"/>
                <w:szCs w:val="21"/>
                <w:highlight w:val="none"/>
              </w:rPr>
              <w:t>广西壮族自治区粮食功能区管理平台作为全区农业数字化管理的核心支撑平台，通过系统化整合粮食生产功能区划定的空间数据与属性信息，为自治区农业农村部门提供了重要的决策支持。平台自上线运行以来，累计完成全区103个县（市、区）、10.21万个行政村的粮食生产功能区数字化建库工作，精准划定78.98万块粮食生产功能区和重要农产品生产保护区地块，总覆盖面积达1681.21万亩，构建了包含水稻功能区1434.21万亩、玉米功能区247万亩的种植空间数据库，有效关联73万农业经营主体信息。</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粮食功能区平台通过三大核心功能赋能农业管理：一是实现GIS空间数据与属性信息的双向互查，支持两区地块坐标定位、权属信息核查等精准查询；二是提供多维度的统计分析模块，可实时生成粮食种植结构、功能区利用效率等可视化报告；三是建立标准化的数据管理机制，为粮食生产数据采集、存储、应用的规范化提供全流程支撑。</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本次平台运维拟通过科学化、体系化的技术保障措施，确保平台在全生命周期内安全、稳定、高效运行，持续发挥其作为自治区粮食安全数字化基座的战略价值。</w:t>
            </w: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二、项目建设内容</w:t>
            </w:r>
            <w:bookmarkEnd w:id="64"/>
          </w:p>
          <w:p>
            <w:pPr>
              <w:spacing w:line="440" w:lineRule="exact"/>
              <w:ind w:firstLine="420" w:firstLineChars="200"/>
              <w:rPr>
                <w:rFonts w:ascii="宋体" w:hAnsi="宋体" w:cs="宋体"/>
                <w:color w:val="auto"/>
                <w:szCs w:val="21"/>
                <w:highlight w:val="none"/>
              </w:rPr>
            </w:pPr>
            <w:bookmarkStart w:id="65" w:name="_Toc24988"/>
            <w:r>
              <w:rPr>
                <w:rFonts w:hint="eastAsia" w:ascii="宋体" w:hAnsi="宋体" w:cs="宋体"/>
                <w:color w:val="auto"/>
                <w:szCs w:val="21"/>
                <w:highlight w:val="none"/>
              </w:rPr>
              <w:t>（一）</w:t>
            </w:r>
            <w:bookmarkEnd w:id="65"/>
            <w:r>
              <w:rPr>
                <w:rFonts w:hint="eastAsia" w:ascii="宋体" w:hAnsi="宋体" w:cs="宋体"/>
                <w:color w:val="auto"/>
                <w:szCs w:val="21"/>
                <w:highlight w:val="none"/>
                <w:lang w:eastAsia="zh-CN"/>
              </w:rPr>
              <w:t>广西壮族自治区</w:t>
            </w:r>
            <w:r>
              <w:rPr>
                <w:rFonts w:hint="eastAsia" w:ascii="宋体" w:hAnsi="宋体" w:cs="宋体"/>
                <w:color w:val="auto"/>
                <w:szCs w:val="21"/>
                <w:highlight w:val="none"/>
              </w:rPr>
              <w:t>粮食生产功能区管理平台运维服务</w:t>
            </w:r>
          </w:p>
          <w:p>
            <w:pPr>
              <w:spacing w:line="440" w:lineRule="exact"/>
              <w:ind w:firstLine="420" w:firstLineChars="200"/>
              <w:rPr>
                <w:rFonts w:ascii="宋体" w:hAnsi="宋体" w:cs="宋体"/>
                <w:color w:val="auto"/>
                <w:szCs w:val="21"/>
                <w:highlight w:val="none"/>
                <w:lang w:bidi="ar"/>
              </w:rPr>
            </w:pPr>
            <w:bookmarkStart w:id="66" w:name="_Toc21336"/>
            <w:r>
              <w:rPr>
                <w:rFonts w:hint="eastAsia" w:ascii="宋体" w:hAnsi="宋体" w:cs="宋体"/>
                <w:color w:val="auto"/>
                <w:szCs w:val="21"/>
                <w:highlight w:val="none"/>
                <w:lang w:bidi="ar"/>
              </w:rPr>
              <w:t>一是日常运行维护。保障平台正常运行、按照广西粮食生产功能区平台项目安全等级保护测评要求进行数据库补丁更新，并且对数据库的存储环境进行定期检测，对于检测出现的问题及时修复；二是为业务部门提供技术支撑包括但不限于日常数据查询、报表统计服务；三是“回头看”数据更新指导服务工作。自治区数据汇交单位对县区提交的数据成果按照标准进行处理，指导并协助其通过数据库管理系统进行数据入库和维护工作，进行粮食功能区数服务发布等，完成数据更新。建设内容如下：</w:t>
            </w:r>
          </w:p>
          <w:p>
            <w:pPr>
              <w:spacing w:line="44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1、平台运行保障</w:t>
            </w:r>
          </w:p>
          <w:p>
            <w:pPr>
              <w:spacing w:line="44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通过实时监控服务器、数据库及应用程序的运行状态；对系统故障进行快速定位和排查；定期进行数据备份，确保数据安全性和可恢复性。并将维护过程记录于月报，形成过程文档材料。</w:t>
            </w:r>
          </w:p>
          <w:p>
            <w:pPr>
              <w:spacing w:line="44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2、平台安全检测及加固</w:t>
            </w:r>
          </w:p>
          <w:p>
            <w:pPr>
              <w:spacing w:line="44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保障系统正常运行、按照安全等级保护测评要求进行数据库补丁更新，并且对数据库的存储环境进行定期检测，对于检测出现的问题及时修复。</w:t>
            </w:r>
          </w:p>
          <w:p>
            <w:pPr>
              <w:spacing w:line="44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3、数据备份及更新服务</w:t>
            </w:r>
          </w:p>
          <w:p>
            <w:pPr>
              <w:spacing w:line="44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指导并协助自治区数据汇总单位对已通过质检的数据成果按照入库标准进行整理，对历史数据做好备份存储；并通过数据库管理子系统完成数据入库更新和维护工作，进行粮食功能区数服务发布等，完成数据更新。</w:t>
            </w:r>
          </w:p>
          <w:p>
            <w:pPr>
              <w:spacing w:line="44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4、操作指导及技术咨询服务</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结合用户需求提供系统操作指导培训，提供技术咨询支持，提供数据统计分析和报表分析服务。</w:t>
            </w:r>
            <w:bookmarkEnd w:id="66"/>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534" w:type="dxa"/>
            <w:gridSpan w:val="6"/>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color w:val="auto"/>
                <w:szCs w:val="21"/>
                <w:highlight w:val="none"/>
              </w:rPr>
            </w:pPr>
            <w:r>
              <w:rPr>
                <w:rFonts w:hint="eastAsia" w:ascii="宋体" w:hAnsi="宋体" w:cs="宋体"/>
                <w:b/>
                <w:color w:val="auto"/>
                <w:szCs w:val="21"/>
                <w:highlight w:val="none"/>
              </w:rPr>
              <w:t>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58"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r>
              <w:rPr>
                <w:rFonts w:hint="eastAsia" w:ascii="宋体" w:hAnsi="宋体" w:cs="宋体"/>
                <w:b/>
                <w:bCs/>
                <w:color w:val="auto"/>
                <w:szCs w:val="21"/>
                <w:highlight w:val="none"/>
              </w:rPr>
              <w:t>▲</w:t>
            </w:r>
            <w:r>
              <w:rPr>
                <w:rFonts w:hint="eastAsia" w:ascii="宋体" w:hAnsi="宋体" w:cs="宋体"/>
                <w:bCs/>
                <w:color w:val="auto"/>
                <w:szCs w:val="21"/>
                <w:highlight w:val="none"/>
              </w:rPr>
              <w:t>磋商报价要求</w:t>
            </w:r>
          </w:p>
        </w:tc>
        <w:tc>
          <w:tcPr>
            <w:tcW w:w="6976"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lang w:val="zh-CN"/>
              </w:rPr>
              <w:t>本项目报价为总额报价，即一次性报出本项目服务所需的所有费用，含技术服务、派出工作人员的交通费、住宿费、伙食补助费、必要的保险费用和各项税金、其他有关的费用。本项目至验收合格，采购人不另支付任何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58"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合同履行期限和地点</w:t>
            </w:r>
          </w:p>
        </w:tc>
        <w:tc>
          <w:tcPr>
            <w:tcW w:w="6976" w:type="dxa"/>
            <w:gridSpan w:val="3"/>
            <w:tcBorders>
              <w:top w:val="single" w:color="auto" w:sz="4" w:space="0"/>
              <w:left w:val="single" w:color="auto" w:sz="4" w:space="0"/>
              <w:bottom w:val="single" w:color="auto" w:sz="4" w:space="0"/>
              <w:right w:val="single" w:color="auto" w:sz="4" w:space="0"/>
            </w:tcBorders>
            <w:vAlign w:val="center"/>
          </w:tcPr>
          <w:p>
            <w:pPr>
              <w:numPr>
                <w:ilvl w:val="0"/>
                <w:numId w:val="1"/>
              </w:numPr>
              <w:tabs>
                <w:tab w:val="left" w:pos="681"/>
              </w:tabs>
              <w:spacing w:line="440" w:lineRule="exact"/>
              <w:rPr>
                <w:rFonts w:ascii="宋体" w:hAnsi="宋体" w:cs="宋体"/>
                <w:color w:val="auto"/>
                <w:szCs w:val="21"/>
                <w:highlight w:val="none"/>
              </w:rPr>
            </w:pPr>
            <w:r>
              <w:rPr>
                <w:rFonts w:hint="eastAsia" w:ascii="宋体" w:hAnsi="宋体" w:cs="宋体"/>
                <w:color w:val="auto"/>
                <w:szCs w:val="21"/>
                <w:highlight w:val="none"/>
              </w:rPr>
              <w:t>合同履约期限：</w:t>
            </w:r>
            <w:r>
              <w:rPr>
                <w:rFonts w:hint="eastAsia" w:ascii="宋体" w:hAnsi="宋体" w:cs="宋体"/>
                <w:color w:val="auto"/>
                <w:szCs w:val="21"/>
                <w:highlight w:val="none"/>
                <w:lang w:val="zh-CN"/>
              </w:rPr>
              <w:t>自合同签订之日起一年。</w:t>
            </w:r>
          </w:p>
          <w:p>
            <w:pPr>
              <w:numPr>
                <w:ilvl w:val="0"/>
                <w:numId w:val="1"/>
              </w:numPr>
              <w:tabs>
                <w:tab w:val="left" w:pos="681"/>
              </w:tabs>
              <w:spacing w:line="440" w:lineRule="exact"/>
              <w:rPr>
                <w:rFonts w:ascii="宋体" w:hAnsi="宋体" w:cs="宋体"/>
                <w:color w:val="auto"/>
                <w:szCs w:val="21"/>
                <w:highlight w:val="none"/>
              </w:rPr>
            </w:pPr>
            <w:r>
              <w:rPr>
                <w:rFonts w:hint="eastAsia" w:ascii="宋体" w:hAnsi="宋体" w:cs="宋体"/>
                <w:color w:val="auto"/>
                <w:szCs w:val="21"/>
                <w:highlight w:val="none"/>
              </w:rPr>
              <w:t>地点：广西区内采购人指定地点。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58"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付款条件</w:t>
            </w:r>
          </w:p>
        </w:tc>
        <w:tc>
          <w:tcPr>
            <w:tcW w:w="6976"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rPr>
            </w:pPr>
            <w:r>
              <w:rPr>
                <w:rFonts w:hint="eastAsia"/>
                <w:color w:val="auto"/>
                <w:szCs w:val="21"/>
                <w:highlight w:val="none"/>
              </w:rPr>
              <w:t>自签订合同，10</w:t>
            </w:r>
            <w:r>
              <w:rPr>
                <w:rFonts w:hint="eastAsia"/>
                <w:color w:val="auto"/>
                <w:spacing w:val="-3"/>
                <w:szCs w:val="21"/>
                <w:highlight w:val="none"/>
              </w:rPr>
              <w:t>个工作日内，采购人支付</w:t>
            </w:r>
            <w:r>
              <w:rPr>
                <w:rFonts w:hint="eastAsia"/>
                <w:color w:val="auto"/>
                <w:szCs w:val="21"/>
                <w:highlight w:val="none"/>
              </w:rPr>
              <w:t>30%的合同款给成交供应商，提供实施服务并取得运维成果后采购人支付50%的合同款给成交供应商。完成项目验收</w:t>
            </w:r>
            <w:r>
              <w:rPr>
                <w:rFonts w:hint="eastAsia"/>
                <w:color w:val="auto"/>
                <w:spacing w:val="-3"/>
                <w:szCs w:val="21"/>
                <w:highlight w:val="none"/>
              </w:rPr>
              <w:t>后，采购人支付合同金额</w:t>
            </w:r>
            <w:r>
              <w:rPr>
                <w:rFonts w:hint="eastAsia"/>
                <w:color w:val="auto"/>
                <w:szCs w:val="21"/>
                <w:highlight w:val="none"/>
              </w:rPr>
              <w:t>20%</w:t>
            </w:r>
            <w:r>
              <w:rPr>
                <w:rFonts w:hint="eastAsia"/>
                <w:color w:val="auto"/>
                <w:spacing w:val="-1"/>
                <w:szCs w:val="21"/>
                <w:highlight w:val="none"/>
              </w:rPr>
              <w:t>合同款给成交供应商，供应商自收到</w:t>
            </w:r>
            <w:r>
              <w:rPr>
                <w:rFonts w:hint="eastAsia"/>
                <w:color w:val="auto"/>
                <w:spacing w:val="-9"/>
                <w:szCs w:val="21"/>
                <w:highlight w:val="none"/>
              </w:rPr>
              <w:t>合同款之日起</w:t>
            </w:r>
            <w:r>
              <w:rPr>
                <w:rFonts w:hint="eastAsia"/>
                <w:color w:val="auto"/>
                <w:spacing w:val="-2"/>
                <w:szCs w:val="21"/>
                <w:highlight w:val="none"/>
              </w:rPr>
              <w:t>10</w:t>
            </w:r>
            <w:r>
              <w:rPr>
                <w:rFonts w:hint="eastAsia"/>
                <w:color w:val="auto"/>
                <w:spacing w:val="-3"/>
                <w:szCs w:val="21"/>
                <w:highlight w:val="none"/>
              </w:rPr>
              <w:t>个工作日内开具发票给采购人。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58"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bCs/>
                <w:color w:val="auto"/>
                <w:szCs w:val="21"/>
                <w:highlight w:val="none"/>
              </w:rPr>
            </w:pPr>
            <w:r>
              <w:rPr>
                <w:rFonts w:hint="eastAsia" w:ascii="宋体" w:hAnsi="宋体" w:cs="宋体"/>
                <w:color w:val="auto"/>
                <w:szCs w:val="21"/>
                <w:highlight w:val="none"/>
              </w:rPr>
              <w:t>售后服务要求</w:t>
            </w:r>
          </w:p>
        </w:tc>
        <w:tc>
          <w:tcPr>
            <w:tcW w:w="697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（1）要求技术人员、设备配备齐全，能够提供长期快速的服务。</w:t>
            </w:r>
          </w:p>
          <w:p>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（2）自验收合格之日起，供应商提供1年质量保证期。</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（3）处理问题响应时间：接到故障通知后，工作日2小时内到现场，非工作日时间4小时内到达现场。</w:t>
            </w:r>
          </w:p>
        </w:tc>
      </w:tr>
    </w:tbl>
    <w:p>
      <w:pPr>
        <w:pStyle w:val="19"/>
        <w:spacing w:line="440" w:lineRule="exact"/>
        <w:rPr>
          <w:rFonts w:ascii="宋体" w:hAnsi="宋体" w:cs="宋体"/>
          <w:b/>
          <w:color w:val="auto"/>
          <w:sz w:val="24"/>
          <w:highlight w:val="none"/>
        </w:rPr>
        <w:sectPr>
          <w:pgSz w:w="11906" w:h="16838"/>
          <w:pgMar w:top="1134" w:right="1247" w:bottom="1134" w:left="1247" w:header="851" w:footer="992" w:gutter="0"/>
          <w:cols w:space="720" w:num="1"/>
          <w:docGrid w:linePitch="312" w:charSpace="0"/>
        </w:sectPr>
      </w:pPr>
    </w:p>
    <w:p>
      <w:pPr>
        <w:pStyle w:val="5"/>
        <w:spacing w:before="0" w:after="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标项七</w:t>
      </w:r>
    </w:p>
    <w:tbl>
      <w:tblPr>
        <w:tblStyle w:val="41"/>
        <w:tblW w:w="10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35"/>
        <w:gridCol w:w="214"/>
        <w:gridCol w:w="867"/>
        <w:gridCol w:w="1219"/>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415" w:type="dxa"/>
            <w:gridSpan w:val="6"/>
            <w:vAlign w:val="center"/>
          </w:tcPr>
          <w:p>
            <w:pPr>
              <w:pStyle w:val="26"/>
              <w:spacing w:line="440" w:lineRule="exact"/>
              <w:jc w:val="center"/>
              <w:rPr>
                <w:rFonts w:ascii="宋体" w:hAnsi="宋体" w:cs="宋体"/>
                <w:color w:val="auto"/>
                <w:sz w:val="21"/>
                <w:szCs w:val="21"/>
                <w:highlight w:val="none"/>
              </w:rPr>
            </w:pPr>
            <w:r>
              <w:rPr>
                <w:rFonts w:hint="eastAsia" w:ascii="宋体" w:hAnsi="宋体" w:cs="宋体"/>
                <w:b/>
                <w:bCs/>
                <w:color w:val="auto"/>
                <w:sz w:val="21"/>
                <w:szCs w:val="21"/>
                <w:highlight w:val="none"/>
              </w:rPr>
              <w:t>服务需求一览表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17" w:type="dxa"/>
            <w:tcMar>
              <w:top w:w="0" w:type="dxa"/>
              <w:left w:w="0" w:type="dxa"/>
              <w:bottom w:w="0" w:type="dxa"/>
              <w:right w:w="0" w:type="dxa"/>
            </w:tcMar>
            <w:vAlign w:val="center"/>
          </w:tcPr>
          <w:p>
            <w:pPr>
              <w:pStyle w:val="26"/>
              <w:spacing w:line="4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949" w:type="dxa"/>
            <w:gridSpan w:val="2"/>
            <w:vAlign w:val="center"/>
          </w:tcPr>
          <w:p>
            <w:pPr>
              <w:pStyle w:val="26"/>
              <w:spacing w:line="4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采购服务名称</w:t>
            </w:r>
          </w:p>
        </w:tc>
        <w:tc>
          <w:tcPr>
            <w:tcW w:w="867" w:type="dxa"/>
            <w:vAlign w:val="center"/>
          </w:tcPr>
          <w:p>
            <w:pPr>
              <w:pStyle w:val="26"/>
              <w:spacing w:line="4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数量及单位</w:t>
            </w:r>
          </w:p>
        </w:tc>
        <w:tc>
          <w:tcPr>
            <w:tcW w:w="1219" w:type="dxa"/>
            <w:vAlign w:val="center"/>
          </w:tcPr>
          <w:p>
            <w:pPr>
              <w:pStyle w:val="26"/>
              <w:spacing w:line="4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所属行业</w:t>
            </w:r>
          </w:p>
        </w:tc>
        <w:tc>
          <w:tcPr>
            <w:tcW w:w="6663" w:type="dxa"/>
            <w:vAlign w:val="center"/>
          </w:tcPr>
          <w:p>
            <w:pPr>
              <w:pStyle w:val="26"/>
              <w:spacing w:line="4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jc w:val="center"/>
        </w:trPr>
        <w:tc>
          <w:tcPr>
            <w:tcW w:w="717" w:type="dxa"/>
            <w:vAlign w:val="center"/>
          </w:tcPr>
          <w:p>
            <w:pPr>
              <w:pStyle w:val="26"/>
              <w:spacing w:line="440" w:lineRule="exact"/>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949" w:type="dxa"/>
            <w:gridSpan w:val="2"/>
            <w:vAlign w:val="center"/>
          </w:tcPr>
          <w:p>
            <w:pPr>
              <w:pStyle w:val="26"/>
              <w:spacing w:line="4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网络安全等级保护测评和商用密码应用安全性评估服务</w:t>
            </w:r>
          </w:p>
        </w:tc>
        <w:tc>
          <w:tcPr>
            <w:tcW w:w="867" w:type="dxa"/>
            <w:vAlign w:val="center"/>
          </w:tcPr>
          <w:p>
            <w:pPr>
              <w:pStyle w:val="26"/>
              <w:spacing w:line="4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1项</w:t>
            </w:r>
          </w:p>
        </w:tc>
        <w:tc>
          <w:tcPr>
            <w:tcW w:w="1219" w:type="dxa"/>
            <w:vAlign w:val="center"/>
          </w:tcPr>
          <w:p>
            <w:pPr>
              <w:pStyle w:val="26"/>
              <w:spacing w:line="4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软件和信息技术服务业</w:t>
            </w:r>
          </w:p>
        </w:tc>
        <w:tc>
          <w:tcPr>
            <w:tcW w:w="6663" w:type="dxa"/>
          </w:tcPr>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一、项目背景</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根据《信息安全等级保护管理办法》(公通字〔2007〕43号)、《中华人民共和国网络安全法》、《中华人民共和国密码法》要求，信息系统安全保护等级定为第三级的信息系统每年至少进行一次等级保护测评；运营者应当使用商用密码进行保护，制定商用密码应用方案，配备必要的资金和专业人员，同步规划、同步建设、同步运行商用密码保障系统，自行或者委托商用密码检测机构开展商用密码应用安全性评估。</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广西农村土地承包经营权确权登记管理信息系统自治区级平台数据定级为等保三级信息系统，涉及范围广，数据精度高，具有高度的敏感性和保密性，作为区内重要的政务信息系统，因此需要开展网络安全等级保护测评和商用密码应用安全性评估服务采购工作</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二、服务内容和要求</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2" w:firstLineChars="200"/>
              <w:textAlignment w:val="auto"/>
              <w:rPr>
                <w:rFonts w:ascii="宋体" w:hAnsi="宋体" w:cs="宋体"/>
                <w:color w:val="auto"/>
                <w:sz w:val="21"/>
                <w:szCs w:val="21"/>
                <w:highlight w:val="none"/>
              </w:rPr>
            </w:pPr>
            <w:r>
              <w:rPr>
                <w:rFonts w:hint="eastAsia" w:ascii="宋体" w:hAnsi="宋体" w:cs="宋体"/>
                <w:b/>
                <w:bCs/>
                <w:color w:val="auto"/>
                <w:sz w:val="21"/>
                <w:szCs w:val="21"/>
                <w:highlight w:val="none"/>
              </w:rPr>
              <w:t>▲网络安全等级保护测评服务</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1、总的要求</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依据《网络安全等级保护基本要求》（GB/T 22239-2019）对广西农村土地承包经营权确权登记管理信息系统自治区平台系统（三级）开展网络安全等级保护测评工作，并出具网络安全等级保护测评报告。</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2、标准依据</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《计算机信息系统安全保护等级划分准则》（GB 17859-1999)</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《网络安全等级保护基本要求》（GB/T 22239-2019）</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《网络安全等级保护测评要求》（GB/T 28448-2019）</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《网络安全等级保护测评过程指南》（GB/T 28449-2018)</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《网络安全等级保护设计技术要求》（GB/T 25070-2019）</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《网络安全等级保护测试评估技术指南》（GB/T 36627-2018）</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3、测评内容</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（1）安全通用要求</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安全通用要求测评内容应包括安全技术和安全管理两大类，其中技术类应包括对安全物理环境、安全通信网络、安全区域边界、安全计算环境、安全管理中心五个方面的测评，安全管理类测评应包括对安全管理制度、安全管理机构、安全管理人员、安全建设管理、安全运维管理五个方面的测评。</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安全扩展要求</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应用了不同新技术的安全保护对象处于不同的应用场景中，面临不同的安全威胁，因此会有不同的安全需求，该保护对象涉及的安全扩展要求包括：</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1）云计算</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云计算安全测评内容包括对安全物理环境、安全通信网络、安全区域边界、安全计算环境、安全管理中心、安全建设管理、安全运维管理等的测评。</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2）移动互联</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移动互联安全测评内容包括对安全物理环境、安全区域边界、安全计算环境、安全建设管理、安全运维管理等的测评。</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4、测评方法</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在测评实施过程中，应采用访谈、检查和测试等测评方法进行，并与国家相关规范及标准的要求相符。</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访谈是指测评人员通过引导信息系统相关人员进行有目的的（有针对性的）交流以帮助测评人员理解、分析或取得证据的过程；</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检查是指测评人员通过对测评对象（如管理制度、操作记录、安全配置等）进行观察、查验、分析以帮助测评人员理解、分析或取得证据的过程；</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测试是测评人员使用预定的方法/工具使测评对象产生特定的行为，通过查看和分析结果以帮助测评人员获取证据的过程；</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5、服务成果</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测评完成后，出具一式两份纸质版符合网络安全等级保护测评相关技术标准要求的网络安全等级保护测评报告和对应的PDF版。</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2" w:firstLineChars="200"/>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rPr>
              <w:t>▲商用密码应用安全性评估</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1、总的要求</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依据《信息安全技术信息系统密码应用基本要求》(GB/T 39786—2021)、《信息系统密码应用测评要求》、《信息系统密码应用测评过程指南》、《信息系统密码应用高风险判定指引》、《商用密码应用安全性评估量化评估规则》等标准、规范，对广西农村土地承包经营权确权登记管理信息系统自治区级平台（三级）开展商用密码应用安全性评估,全面评估其是否符合商用密码应用安全性评估的要求。</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本次密评旨在对西农村土地承包经营权确权登记管理信息系统自治区级平台的商用密码应用的合规性、正确性和有效性进行评估。根据实际评估结果，对受测系统进行安全风险分析并给出改进建议，出具密评报告。</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2、评估依据</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（1）评估过程中主要依据的标准或规范性文件</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GBT 39786—2021《信息安全技术信息系统密码应用基本要求》</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《政务信息系统密码应用与安全性评估工作指南》</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《信息系统密码应用测评要求》</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《信息系统密码应用测评过程指南》</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《信息系统密码应用高风险判定指引》</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《商用密码应用安全性评估量化评估规则》</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（2）参考标准及规范</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评估过程中其它参考性标准或规范性文件:</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GM/T 0024—2014 SSL VPN技术规范</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GM/T 0029—2014签名验签服务器技术规范</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3、评估原则</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本次密评工作中严格遵循以下原则</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（1）客观公正原则：密评人员在最小主观判断情况下,按照双方认可的密评方案，基于明确定义的评估方式和解释实施密评活动。</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（2）经济及重用性原则：密评工作可重用包括商用密码安全产品评估结果和信息系统密码评估结果在内的已有评估结果。重用结果应适用于受测系统，并且能够反应出当前系统的安全状态。</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（3）可重复、可再现性原则：任何密评人员，依照同样的要求，使用同样的评估方法，对每个密评实施过程的重复执行均应得到相同的密评结果。</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（4）规范性原则：项目实施过程中，在人员、质量和时间进度等方面进行严格管控,在保证测试质童的前提下，按计划进度执行。评估工具、方法和过程要在双方认可的范围之内合法进行。</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（5）完整性原则：密评过程中，确保密评数据、过程记录的完整性。</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（6）最小影响原则：应充分考虑密评活动对受测系统的影响，采取必要的措施，避免影响受测系统正常运行。</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（7）保密原则：应确保密评项目涉及的所有信息，不会泄露给第三方单位或个人，不擅自利用这些信息。</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4、评估内容</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商用密码应用安全性评估要求依据国家有关最新标准和规范对包括(但不限于)物理和环境安全、网络和通信安全、设备和计算安全、应用和数据安全、管理制度、人员管理、建设运行、应急处置等方面进行评估。</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（1）物理和环境安全包括身份鉴别、电子门禁记录数据完整性、视频记录数据完整性、密码服务、密码产品等评估项。</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（2）网络和通信安全包括身份鉴别、通信数据完整性、通信过程中重要数据的机密性、网络边界访问控制信息的完整性、安全接入认证、密码服务、密码产品等评估项。</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（3）设备和计算安全包括身份鉴别、远程管理通道安全、系统资源访问控制信息完整性、重要信息资源安全标记完整性、日志记录完整性、重要可执行程序来源真实性、密码服务、密码产品等评估项。</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4）应用和数据安全包括身份鉴别、访问控制信息完整性、重要信息资源安全标记完整性、重要数据传输机密性、重要数据存储机密性、重要数据传输完整性、重要数据存储完整性、不可否认性、密码服务、密码产品等评估项。</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（5）管理制度包括具备密码应用安全管理制度、密钥管理规制、建立操作规程、定期修订安全管理制度、明确管理制度发布流程、制度执行过程记录留存等评估项。</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（6）人员管理包括了解并遵守密码相关法律法规和密码管理制度、建立密码应用岗位责任制度、建立上岗人员培训制度、定期进行安全岗位人员考核、建立关键岗位人员保密制度和调离制度等评估项。</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（7）建设运行包括制定密码应用方案、制定密钥安全管理策略、制定实施方案、投入运行前进行密码应用安全性评估、定期开展密码应用安全性评估及攻防对抗演习等评估项。</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（8）应急处置包括应急策略、事件处置、向有关主管部门上报处置情况等评估项。</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5、服务成果</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评估完成后，出具一式两份纸质版符合商用密码应用安全性评估相关技术标准要求的商用密码应用安全性评估报告和对应的PDF版。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415" w:type="dxa"/>
            <w:gridSpan w:val="6"/>
            <w:vAlign w:val="center"/>
          </w:tcPr>
          <w:p>
            <w:pPr>
              <w:pStyle w:val="26"/>
              <w:spacing w:line="440" w:lineRule="exact"/>
              <w:rPr>
                <w:rFonts w:ascii="宋体" w:hAnsi="宋体" w:cs="宋体"/>
                <w:color w:val="auto"/>
                <w:sz w:val="21"/>
                <w:szCs w:val="21"/>
                <w:highlight w:val="none"/>
              </w:rPr>
            </w:pPr>
            <w:r>
              <w:rPr>
                <w:rFonts w:hint="eastAsia" w:ascii="宋体" w:hAnsi="宋体" w:cs="宋体"/>
                <w:b/>
                <w:color w:val="auto"/>
                <w:sz w:val="21"/>
                <w:szCs w:val="21"/>
                <w:highlight w:val="none"/>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2" w:type="dxa"/>
            <w:gridSpan w:val="2"/>
            <w:vAlign w:val="center"/>
          </w:tcPr>
          <w:p>
            <w:pPr>
              <w:pStyle w:val="26"/>
              <w:spacing w:line="4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▲磋商报价要求</w:t>
            </w:r>
          </w:p>
        </w:tc>
        <w:tc>
          <w:tcPr>
            <w:tcW w:w="8963" w:type="dxa"/>
            <w:gridSpan w:val="4"/>
            <w:vAlign w:val="center"/>
          </w:tcPr>
          <w:p>
            <w:pPr>
              <w:pStyle w:val="26"/>
              <w:spacing w:line="440" w:lineRule="exact"/>
              <w:rPr>
                <w:rFonts w:ascii="宋体" w:hAnsi="宋体" w:cs="宋体"/>
                <w:color w:val="auto"/>
                <w:sz w:val="21"/>
                <w:szCs w:val="21"/>
                <w:highlight w:val="none"/>
              </w:rPr>
            </w:pPr>
            <w:r>
              <w:rPr>
                <w:rFonts w:hint="eastAsia"/>
                <w:color w:val="auto"/>
                <w:sz w:val="21"/>
                <w:szCs w:val="21"/>
                <w:highlight w:val="none"/>
              </w:rPr>
              <w:t>报价包括完成本项目“服务需求”中所列所有服务内容产生的所有成本、项目验收、税金、利润等费用，采购人不再另行支付任何费用。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2" w:type="dxa"/>
            <w:gridSpan w:val="2"/>
            <w:vAlign w:val="center"/>
          </w:tcPr>
          <w:p>
            <w:pPr>
              <w:pStyle w:val="26"/>
              <w:spacing w:line="4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▲提交服务成果时间及地点</w:t>
            </w:r>
          </w:p>
        </w:tc>
        <w:tc>
          <w:tcPr>
            <w:tcW w:w="8963" w:type="dxa"/>
            <w:gridSpan w:val="4"/>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提交服务成果时间：自接到采购人进场通知之日起50个工作日内完成广西农村土地承包经营权确权登记管理信息系统自治区级平台网络安全等级保护测评和商用密码应用安全性评估工作，并出具相应的报告。</w:t>
            </w:r>
          </w:p>
          <w:p>
            <w:pPr>
              <w:pStyle w:val="26"/>
              <w:spacing w:line="440" w:lineRule="exact"/>
              <w:rPr>
                <w:rFonts w:ascii="宋体" w:hAnsi="宋体" w:cs="宋体"/>
                <w:color w:val="auto"/>
                <w:sz w:val="21"/>
                <w:szCs w:val="21"/>
                <w:highlight w:val="none"/>
              </w:rPr>
            </w:pPr>
            <w:r>
              <w:rPr>
                <w:rFonts w:hint="eastAsia" w:ascii="宋体" w:hAnsi="宋体" w:cs="宋体"/>
                <w:color w:val="auto"/>
                <w:sz w:val="21"/>
                <w:szCs w:val="21"/>
                <w:highlight w:val="none"/>
              </w:rPr>
              <w:t>地点：采购人指定地点。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2" w:type="dxa"/>
            <w:gridSpan w:val="2"/>
            <w:shd w:val="clear" w:color="auto" w:fill="auto"/>
            <w:vAlign w:val="center"/>
          </w:tcPr>
          <w:p>
            <w:pPr>
              <w:spacing w:line="440" w:lineRule="exact"/>
              <w:jc w:val="center"/>
              <w:rPr>
                <w:rFonts w:ascii="宋体" w:hAnsi="宋体" w:cs="宋体"/>
                <w:b/>
                <w:color w:val="auto"/>
                <w:szCs w:val="21"/>
                <w:highlight w:val="none"/>
              </w:rPr>
            </w:pPr>
            <w:r>
              <w:rPr>
                <w:rFonts w:hint="eastAsia" w:ascii="宋体" w:hAnsi="宋体" w:cs="宋体"/>
                <w:color w:val="auto"/>
                <w:szCs w:val="21"/>
                <w:highlight w:val="none"/>
              </w:rPr>
              <w:t>▲付款条件</w:t>
            </w:r>
          </w:p>
        </w:tc>
        <w:tc>
          <w:tcPr>
            <w:tcW w:w="8963" w:type="dxa"/>
            <w:gridSpan w:val="4"/>
            <w:shd w:val="clear" w:color="auto" w:fill="auto"/>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签订合同后，成交供应商出具成果报告10个工作日内采购人支付100%的合同款给成交供应商。成交供应商自收到合同款之日起3个工作日内开具合法的发票给采购人。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2" w:type="dxa"/>
            <w:gridSpan w:val="2"/>
            <w:vAlign w:val="center"/>
          </w:tcPr>
          <w:p>
            <w:pPr>
              <w:pStyle w:val="26"/>
              <w:spacing w:line="4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▲其他要求</w:t>
            </w:r>
          </w:p>
        </w:tc>
        <w:tc>
          <w:tcPr>
            <w:tcW w:w="8963" w:type="dxa"/>
            <w:gridSpan w:val="4"/>
            <w:vAlign w:val="center"/>
          </w:tcPr>
          <w:p>
            <w:pPr>
              <w:pStyle w:val="26"/>
              <w:spacing w:line="440" w:lineRule="exact"/>
              <w:rPr>
                <w:rFonts w:ascii="宋体" w:hAnsi="宋体" w:cs="宋体"/>
                <w:color w:val="auto"/>
                <w:sz w:val="21"/>
                <w:szCs w:val="21"/>
                <w:highlight w:val="none"/>
              </w:rPr>
            </w:pPr>
            <w:r>
              <w:rPr>
                <w:rFonts w:hint="eastAsia" w:ascii="宋体" w:hAnsi="宋体" w:cs="宋体"/>
                <w:color w:val="auto"/>
                <w:sz w:val="21"/>
                <w:szCs w:val="21"/>
                <w:highlight w:val="none"/>
              </w:rPr>
              <w:t xml:space="preserve">1、成交供应商及其项目人员必须按采购人要求签署保密协议和保密承诺书，严格遵守协议要求。 </w:t>
            </w:r>
          </w:p>
          <w:p>
            <w:pPr>
              <w:pStyle w:val="26"/>
              <w:spacing w:line="440" w:lineRule="exact"/>
              <w:rPr>
                <w:rFonts w:ascii="宋体" w:hAnsi="宋体" w:cs="宋体"/>
                <w:color w:val="auto"/>
                <w:sz w:val="21"/>
                <w:szCs w:val="21"/>
                <w:highlight w:val="none"/>
              </w:rPr>
            </w:pPr>
            <w:r>
              <w:rPr>
                <w:rFonts w:hint="eastAsia" w:ascii="宋体" w:hAnsi="宋体" w:cs="宋体"/>
                <w:color w:val="auto"/>
                <w:sz w:val="21"/>
                <w:szCs w:val="21"/>
                <w:highlight w:val="none"/>
              </w:rPr>
              <w:t>2、成交供应商必须对测评过程中发现的问题进行风险分析，并协助采购人根据风险测评报告进行整改；特别是在测评期间，成交供应商发现信息系统存在紧急或高危漏洞的，需在完成该系统测评之日起3个工作日内向采购人提交相关漏洞报告，并协助整改；发现其他对测评结果影响较大的问题的，应在 1 周内出具整改报告给采购人，并为采购人提供整改咨询和复测服务。</w:t>
            </w:r>
          </w:p>
          <w:p>
            <w:pPr>
              <w:pStyle w:val="26"/>
              <w:spacing w:line="440" w:lineRule="exact"/>
              <w:rPr>
                <w:rFonts w:ascii="宋体" w:hAnsi="宋体" w:cs="宋体"/>
                <w:color w:val="auto"/>
                <w:sz w:val="21"/>
                <w:szCs w:val="21"/>
                <w:highlight w:val="none"/>
              </w:rPr>
            </w:pPr>
            <w:r>
              <w:rPr>
                <w:rFonts w:hint="eastAsia" w:ascii="宋体" w:hAnsi="宋体" w:cs="宋体"/>
                <w:color w:val="auto"/>
                <w:sz w:val="21"/>
                <w:szCs w:val="21"/>
                <w:highlight w:val="none"/>
              </w:rPr>
              <w:t xml:space="preserve">3、处理问题响应时间：接到采购人处理问题通知后1小时内到达采购人指定现场。   </w:t>
            </w:r>
          </w:p>
        </w:tc>
      </w:tr>
    </w:tbl>
    <w:p>
      <w:pPr>
        <w:pStyle w:val="39"/>
        <w:ind w:firstLine="210"/>
        <w:rPr>
          <w:rFonts w:ascii="宋体" w:hAnsi="宋体" w:cs="宋体"/>
          <w:color w:val="auto"/>
          <w:highlight w:val="none"/>
        </w:rPr>
      </w:pPr>
    </w:p>
    <w:p>
      <w:pPr>
        <w:pStyle w:val="19"/>
        <w:spacing w:line="440" w:lineRule="exact"/>
        <w:rPr>
          <w:rFonts w:ascii="宋体" w:hAnsi="宋体" w:cs="宋体"/>
          <w:color w:val="auto"/>
          <w:sz w:val="32"/>
          <w:szCs w:val="32"/>
          <w:highlight w:val="none"/>
        </w:rPr>
      </w:pPr>
      <w:r>
        <w:rPr>
          <w:rFonts w:hint="eastAsia" w:ascii="宋体" w:hAnsi="宋体" w:cs="宋体"/>
          <w:b/>
          <w:color w:val="auto"/>
          <w:sz w:val="24"/>
          <w:highlight w:val="none"/>
        </w:rPr>
        <w:br w:type="page"/>
      </w:r>
      <w:r>
        <w:rPr>
          <w:rFonts w:hint="eastAsia" w:ascii="宋体" w:hAnsi="宋体" w:cs="宋体"/>
          <w:color w:val="auto"/>
          <w:sz w:val="32"/>
          <w:szCs w:val="32"/>
          <w:highlight w:val="none"/>
        </w:rPr>
        <w:t>附件1：</w:t>
      </w:r>
    </w:p>
    <w:p>
      <w:pPr>
        <w:spacing w:before="7" w:line="440" w:lineRule="exact"/>
        <w:rPr>
          <w:rFonts w:ascii="宋体" w:hAnsi="宋体" w:cs="宋体"/>
          <w:color w:val="auto"/>
          <w:sz w:val="17"/>
          <w:szCs w:val="17"/>
          <w:highlight w:val="none"/>
        </w:rPr>
      </w:pPr>
    </w:p>
    <w:p>
      <w:pPr>
        <w:spacing w:line="440" w:lineRule="exact"/>
        <w:ind w:left="1871"/>
        <w:rPr>
          <w:rFonts w:ascii="宋体" w:hAnsi="宋体" w:cs="宋体"/>
          <w:color w:val="auto"/>
          <w:sz w:val="40"/>
          <w:szCs w:val="40"/>
          <w:highlight w:val="none"/>
        </w:rPr>
      </w:pPr>
      <w:r>
        <w:rPr>
          <w:rFonts w:hint="eastAsia" w:ascii="宋体" w:hAnsi="宋体" w:cs="宋体"/>
          <w:color w:val="auto"/>
          <w:sz w:val="40"/>
          <w:szCs w:val="40"/>
          <w:highlight w:val="none"/>
        </w:rPr>
        <w:t>节能产品政府采购品目清单</w:t>
      </w:r>
    </w:p>
    <w:tbl>
      <w:tblPr>
        <w:tblStyle w:val="41"/>
        <w:tblW w:w="9452" w:type="dxa"/>
        <w:tblInd w:w="93" w:type="dxa"/>
        <w:tblLayout w:type="fixed"/>
        <w:tblCellMar>
          <w:top w:w="0" w:type="dxa"/>
          <w:left w:w="108" w:type="dxa"/>
          <w:bottom w:w="0" w:type="dxa"/>
          <w:right w:w="108" w:type="dxa"/>
        </w:tblCellMar>
      </w:tblPr>
      <w:tblGrid>
        <w:gridCol w:w="660"/>
        <w:gridCol w:w="1116"/>
        <w:gridCol w:w="1516"/>
        <w:gridCol w:w="1620"/>
        <w:gridCol w:w="4540"/>
      </w:tblGrid>
      <w:tr>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nil"/>
              <w:right w:val="single" w:color="000000" w:sz="8" w:space="0"/>
            </w:tcBorders>
            <w:noWrap/>
          </w:tcPr>
          <w:p>
            <w:pPr>
              <w:widowControl/>
              <w:spacing w:line="240" w:lineRule="atLeast"/>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品目序号</w:t>
            </w:r>
          </w:p>
        </w:tc>
        <w:tc>
          <w:tcPr>
            <w:tcW w:w="4252" w:type="dxa"/>
            <w:gridSpan w:val="3"/>
            <w:tcBorders>
              <w:top w:val="single" w:color="000000" w:sz="8" w:space="0"/>
              <w:left w:val="nil"/>
              <w:bottom w:val="single" w:color="000000" w:sz="8" w:space="0"/>
              <w:right w:val="single" w:color="000000" w:sz="8" w:space="0"/>
            </w:tcBorders>
            <w:noWrap/>
            <w:vAlign w:val="center"/>
          </w:tcPr>
          <w:p>
            <w:pPr>
              <w:widowControl/>
              <w:spacing w:line="240" w:lineRule="atLeast"/>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4540" w:type="dxa"/>
            <w:tcBorders>
              <w:top w:val="single" w:color="000000" w:sz="8" w:space="0"/>
              <w:left w:val="nil"/>
              <w:bottom w:val="single" w:color="000000" w:sz="8" w:space="0"/>
              <w:right w:val="single" w:color="000000" w:sz="8" w:space="0"/>
            </w:tcBorders>
            <w:noWrap/>
            <w:vAlign w:val="center"/>
          </w:tcPr>
          <w:p>
            <w:pPr>
              <w:widowControl/>
              <w:spacing w:line="240" w:lineRule="atLeast"/>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依据的标准</w:t>
            </w:r>
          </w:p>
        </w:tc>
      </w:tr>
      <w:tr>
        <w:tblPrEx>
          <w:tblCellMar>
            <w:top w:w="0" w:type="dxa"/>
            <w:left w:w="108" w:type="dxa"/>
            <w:bottom w:w="0" w:type="dxa"/>
            <w:right w:w="108" w:type="dxa"/>
          </w:tblCellMar>
        </w:tblPrEx>
        <w:trPr>
          <w:trHeight w:val="495" w:hRule="atLeast"/>
        </w:trPr>
        <w:tc>
          <w:tcPr>
            <w:tcW w:w="660" w:type="dxa"/>
            <w:vMerge w:val="restart"/>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116" w:type="dxa"/>
            <w:vMerge w:val="restart"/>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5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★A02010104台式计算机</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tblPrEx>
          <w:tblCellMar>
            <w:top w:w="0" w:type="dxa"/>
            <w:left w:w="108" w:type="dxa"/>
            <w:bottom w:w="0" w:type="dxa"/>
            <w:right w:w="108" w:type="dxa"/>
          </w:tblCellMar>
        </w:tblPrEx>
        <w:trPr>
          <w:trHeight w:val="495" w:hRule="atLeast"/>
        </w:trPr>
        <w:tc>
          <w:tcPr>
            <w:tcW w:w="660"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★A02010105便携式计算机</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tblPrEx>
          <w:tblCellMar>
            <w:top w:w="0" w:type="dxa"/>
            <w:left w:w="108" w:type="dxa"/>
            <w:bottom w:w="0" w:type="dxa"/>
            <w:right w:w="108" w:type="dxa"/>
          </w:tblCellMar>
        </w:tblPrEx>
        <w:trPr>
          <w:trHeight w:val="735" w:hRule="atLeast"/>
        </w:trPr>
        <w:tc>
          <w:tcPr>
            <w:tcW w:w="660"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★A02010107平板式微型计算机</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116" w:type="dxa"/>
            <w:vMerge w:val="restart"/>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516" w:type="dxa"/>
            <w:vMerge w:val="restart"/>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★A0201060102激光打印机</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★A0201060104针式打印机</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★A0201060401液晶显示器</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1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5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1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5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1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5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116" w:type="dxa"/>
            <w:vMerge w:val="restart"/>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516" w:type="dxa"/>
            <w:vMerge w:val="restart"/>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1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5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1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5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1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15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116" w:type="dxa"/>
            <w:vMerge w:val="restart"/>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5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auto" w:sz="8" w:space="0"/>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116" w:type="dxa"/>
            <w:vMerge w:val="restart"/>
            <w:tcBorders>
              <w:top w:val="nil"/>
              <w:left w:val="single" w:color="auto" w:sz="8" w:space="0"/>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516"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1620"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auto" w:sz="8" w:space="0"/>
              <w:bottom w:val="single" w:color="auto" w:sz="8" w:space="0"/>
              <w:right w:val="single" w:color="auto"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auto" w:sz="8" w:space="0"/>
              <w:bottom w:val="single" w:color="auto" w:sz="8" w:space="0"/>
              <w:right w:val="single" w:color="auto"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620"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auto" w:sz="8" w:space="0"/>
              <w:bottom w:val="single" w:color="auto" w:sz="8" w:space="0"/>
              <w:right w:val="single" w:color="auto"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auto" w:sz="8" w:space="0"/>
              <w:bottom w:val="single" w:color="auto" w:sz="8" w:space="0"/>
              <w:right w:val="single" w:color="auto"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620"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auto" w:sz="8" w:space="0"/>
              <w:bottom w:val="single" w:color="auto" w:sz="8" w:space="0"/>
              <w:right w:val="single" w:color="auto"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auto" w:sz="8" w:space="0"/>
              <w:bottom w:val="single" w:color="auto" w:sz="8" w:space="0"/>
              <w:right w:val="single" w:color="auto"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620"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tblPrEx>
          <w:tblCellMar>
            <w:top w:w="0" w:type="dxa"/>
            <w:left w:w="108" w:type="dxa"/>
            <w:bottom w:w="0" w:type="dxa"/>
            <w:right w:w="108" w:type="dxa"/>
          </w:tblCellMar>
        </w:tblPrEx>
        <w:trPr>
          <w:trHeight w:val="735" w:hRule="atLeast"/>
        </w:trPr>
        <w:tc>
          <w:tcPr>
            <w:tcW w:w="660" w:type="dxa"/>
            <w:tcBorders>
              <w:top w:val="nil"/>
              <w:left w:val="single" w:color="auto" w:sz="8" w:space="0"/>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116"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1516"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620"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tblPrEx>
          <w:tblCellMar>
            <w:top w:w="0" w:type="dxa"/>
            <w:left w:w="108" w:type="dxa"/>
            <w:bottom w:w="0" w:type="dxa"/>
            <w:right w:w="108" w:type="dxa"/>
          </w:tblCellMar>
        </w:tblPrEx>
        <w:trPr>
          <w:trHeight w:val="975" w:hRule="atLeast"/>
        </w:trPr>
        <w:tc>
          <w:tcPr>
            <w:tcW w:w="660" w:type="dxa"/>
            <w:tcBorders>
              <w:top w:val="nil"/>
              <w:left w:val="single" w:color="auto" w:sz="8" w:space="0"/>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116"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1516"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620"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4540" w:type="dxa"/>
            <w:tcBorders>
              <w:top w:val="nil"/>
              <w:left w:val="nil"/>
              <w:bottom w:val="single" w:color="auto" w:sz="8" w:space="0"/>
              <w:right w:val="single" w:color="auto"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tblPrEx>
          <w:tblCellMar>
            <w:top w:w="0" w:type="dxa"/>
            <w:left w:w="108" w:type="dxa"/>
            <w:bottom w:w="0" w:type="dxa"/>
            <w:right w:w="108" w:type="dxa"/>
          </w:tblCellMar>
        </w:tblPrEx>
        <w:trPr>
          <w:trHeight w:val="495" w:hRule="atLeast"/>
        </w:trPr>
        <w:tc>
          <w:tcPr>
            <w:tcW w:w="660" w:type="dxa"/>
            <w:tcBorders>
              <w:top w:val="nil"/>
              <w:left w:val="single" w:color="auto" w:sz="8" w:space="0"/>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116"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516"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620"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tblPrEx>
          <w:tblCellMar>
            <w:top w:w="0" w:type="dxa"/>
            <w:left w:w="108" w:type="dxa"/>
            <w:bottom w:w="0" w:type="dxa"/>
            <w:right w:w="108" w:type="dxa"/>
          </w:tblCellMar>
        </w:tblPrEx>
        <w:trPr>
          <w:trHeight w:val="285" w:hRule="atLeast"/>
        </w:trPr>
        <w:tc>
          <w:tcPr>
            <w:tcW w:w="660" w:type="dxa"/>
            <w:vMerge w:val="restart"/>
            <w:tcBorders>
              <w:top w:val="nil"/>
              <w:left w:val="single" w:color="auto" w:sz="8" w:space="0"/>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116" w:type="dxa"/>
            <w:vMerge w:val="restart"/>
            <w:tcBorders>
              <w:top w:val="nil"/>
              <w:left w:val="single" w:color="auto" w:sz="8" w:space="0"/>
              <w:bottom w:val="single" w:color="000000"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1516"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620"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auto" w:sz="8" w:space="0"/>
              <w:bottom w:val="single" w:color="auto" w:sz="8" w:space="0"/>
              <w:right w:val="single" w:color="auto"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auto" w:sz="8" w:space="0"/>
              <w:bottom w:val="single" w:color="000000" w:sz="8" w:space="0"/>
              <w:right w:val="single" w:color="auto"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620"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auto" w:sz="8" w:space="0"/>
              <w:bottom w:val="single" w:color="auto" w:sz="8" w:space="0"/>
              <w:right w:val="single" w:color="auto"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auto" w:sz="8" w:space="0"/>
              <w:bottom w:val="single" w:color="000000" w:sz="8" w:space="0"/>
              <w:right w:val="single" w:color="auto"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620"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1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15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1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5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1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5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pPr>
        <w:widowControl/>
        <w:spacing w:line="240" w:lineRule="atLeast"/>
        <w:rPr>
          <w:rFonts w:ascii="宋体" w:hAnsi="宋体" w:cs="宋体"/>
          <w:color w:val="auto"/>
          <w:sz w:val="20"/>
          <w:szCs w:val="20"/>
          <w:highlight w:val="none"/>
        </w:rPr>
      </w:pPr>
    </w:p>
    <w:p>
      <w:pPr>
        <w:pStyle w:val="19"/>
        <w:spacing w:line="440" w:lineRule="exact"/>
        <w:rPr>
          <w:rFonts w:ascii="宋体" w:hAnsi="宋体" w:cs="宋体"/>
          <w:color w:val="auto"/>
          <w:szCs w:val="21"/>
          <w:highlight w:val="none"/>
        </w:rPr>
      </w:pPr>
      <w:r>
        <w:rPr>
          <w:rFonts w:hint="eastAsia" w:ascii="宋体" w:hAnsi="宋体" w:cs="宋体"/>
          <w:color w:val="auto"/>
          <w:spacing w:val="-3"/>
          <w:szCs w:val="21"/>
          <w:highlight w:val="none"/>
        </w:rPr>
        <w:t>注：1.节能产品认证应依据相关国家标准的最新版本，依据国家标准中二级能效（水效）</w:t>
      </w:r>
      <w:r>
        <w:rPr>
          <w:rFonts w:hint="eastAsia" w:ascii="宋体" w:hAnsi="宋体" w:cs="宋体"/>
          <w:color w:val="auto"/>
          <w:szCs w:val="21"/>
          <w:highlight w:val="none"/>
        </w:rPr>
        <w:t>指标。</w:t>
      </w:r>
    </w:p>
    <w:p>
      <w:pPr>
        <w:pStyle w:val="19"/>
        <w:spacing w:line="440" w:lineRule="exact"/>
        <w:rPr>
          <w:rFonts w:ascii="宋体" w:hAnsi="宋体" w:cs="宋体"/>
          <w:color w:val="auto"/>
          <w:sz w:val="32"/>
          <w:szCs w:val="32"/>
          <w:highlight w:val="none"/>
        </w:rPr>
      </w:pPr>
      <w:r>
        <w:rPr>
          <w:rFonts w:hint="eastAsia" w:ascii="宋体" w:hAnsi="宋体" w:cs="宋体"/>
          <w:color w:val="auto"/>
          <w:szCs w:val="21"/>
          <w:highlight w:val="none"/>
        </w:rPr>
        <w:t>2</w:t>
      </w:r>
      <w:r>
        <w:rPr>
          <w:rFonts w:hint="eastAsia" w:ascii="宋体" w:hAnsi="宋体" w:cs="宋体"/>
          <w:b/>
          <w:bCs/>
          <w:color w:val="auto"/>
          <w:szCs w:val="21"/>
          <w:highlight w:val="none"/>
        </w:rPr>
        <w:t>.以“★”标注的为政府强制采购产品。</w:t>
      </w:r>
      <w:r>
        <w:rPr>
          <w:rFonts w:hint="eastAsia" w:ascii="宋体" w:hAnsi="宋体" w:cs="宋体"/>
          <w:color w:val="auto"/>
          <w:highlight w:val="none"/>
        </w:rPr>
        <w:br w:type="page"/>
      </w:r>
      <w:r>
        <w:rPr>
          <w:rFonts w:hint="eastAsia" w:ascii="宋体" w:hAnsi="宋体" w:cs="宋体"/>
          <w:color w:val="auto"/>
          <w:sz w:val="32"/>
          <w:szCs w:val="32"/>
          <w:highlight w:val="none"/>
        </w:rPr>
        <w:t>附件2：</w:t>
      </w:r>
    </w:p>
    <w:p>
      <w:pPr>
        <w:spacing w:line="440" w:lineRule="exact"/>
        <w:ind w:left="1871"/>
        <w:rPr>
          <w:rFonts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41"/>
        <w:tblW w:w="9600" w:type="dxa"/>
        <w:tblInd w:w="250" w:type="dxa"/>
        <w:tblLayout w:type="fixed"/>
        <w:tblCellMar>
          <w:top w:w="0" w:type="dxa"/>
          <w:left w:w="108" w:type="dxa"/>
          <w:bottom w:w="0" w:type="dxa"/>
          <w:right w:w="108" w:type="dxa"/>
        </w:tblCellMar>
      </w:tblPr>
      <w:tblGrid>
        <w:gridCol w:w="1700"/>
        <w:gridCol w:w="1383"/>
        <w:gridCol w:w="913"/>
        <w:gridCol w:w="1619"/>
        <w:gridCol w:w="2535"/>
        <w:gridCol w:w="1450"/>
      </w:tblGrid>
      <w:tr>
        <w:tblPrEx>
          <w:tblCellMar>
            <w:top w:w="0" w:type="dxa"/>
            <w:left w:w="108" w:type="dxa"/>
            <w:bottom w:w="0" w:type="dxa"/>
            <w:right w:w="108" w:type="dxa"/>
          </w:tblCellMar>
        </w:tblPrEx>
        <w:trPr>
          <w:trHeight w:val="285" w:hRule="atLeast"/>
        </w:trPr>
        <w:tc>
          <w:tcPr>
            <w:tcW w:w="170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383"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619"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2535"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450"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tblPrEx>
          <w:tblCellMar>
            <w:top w:w="0" w:type="dxa"/>
            <w:left w:w="108" w:type="dxa"/>
            <w:bottom w:w="0" w:type="dxa"/>
            <w:right w:w="108" w:type="dxa"/>
          </w:tblCellMar>
        </w:tblPrEx>
        <w:trPr>
          <w:trHeight w:val="225" w:hRule="atLeast"/>
        </w:trPr>
        <w:tc>
          <w:tcPr>
            <w:tcW w:w="1700" w:type="dxa"/>
            <w:tcBorders>
              <w:top w:val="nil"/>
              <w:left w:val="single" w:color="auto" w:sz="4" w:space="0"/>
              <w:bottom w:val="single" w:color="auto" w:sz="4" w:space="0"/>
              <w:right w:val="single" w:color="auto" w:sz="4" w:space="0"/>
            </w:tcBorders>
            <w:noWrap/>
            <w:vAlign w:val="bottom"/>
          </w:tcPr>
          <w:p>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700" w:type="dxa"/>
            <w:tcBorders>
              <w:top w:val="nil"/>
              <w:left w:val="single" w:color="auto" w:sz="4" w:space="0"/>
              <w:bottom w:val="single" w:color="auto" w:sz="4" w:space="0"/>
              <w:right w:val="single" w:color="auto" w:sz="4" w:space="0"/>
            </w:tcBorders>
            <w:noWrap/>
            <w:vAlign w:val="bottom"/>
          </w:tcPr>
          <w:p>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pPr>
        <w:spacing w:line="240" w:lineRule="atLeast"/>
        <w:ind w:firstLine="525" w:firstLineChars="250"/>
        <w:rPr>
          <w:rFonts w:ascii="宋体" w:hAnsi="宋体" w:cs="宋体"/>
          <w:color w:val="auto"/>
          <w:szCs w:val="21"/>
          <w:highlight w:val="none"/>
        </w:rPr>
      </w:pPr>
    </w:p>
    <w:p>
      <w:pPr>
        <w:spacing w:line="240" w:lineRule="atLeast"/>
        <w:ind w:firstLine="525" w:firstLineChars="250"/>
        <w:rPr>
          <w:rFonts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pPr>
        <w:spacing w:line="440" w:lineRule="exact"/>
        <w:ind w:firstLine="482" w:firstLineChars="200"/>
        <w:rPr>
          <w:rFonts w:ascii="宋体" w:hAnsi="宋体" w:cs="宋体"/>
          <w:b/>
          <w:color w:val="auto"/>
          <w:sz w:val="24"/>
          <w:highlight w:val="none"/>
        </w:rPr>
      </w:pPr>
    </w:p>
    <w:p>
      <w:pPr>
        <w:spacing w:line="440" w:lineRule="exact"/>
        <w:ind w:firstLine="482" w:firstLineChars="200"/>
        <w:rPr>
          <w:rFonts w:ascii="宋体" w:hAnsi="宋体" w:cs="宋体"/>
          <w:b/>
          <w:color w:val="auto"/>
          <w:sz w:val="24"/>
          <w:highlight w:val="none"/>
        </w:rPr>
      </w:pPr>
    </w:p>
    <w:p>
      <w:pPr>
        <w:spacing w:line="440" w:lineRule="exact"/>
        <w:ind w:firstLine="482" w:firstLineChars="200"/>
        <w:rPr>
          <w:rFonts w:ascii="宋体" w:hAnsi="宋体" w:cs="宋体"/>
          <w:b/>
          <w:color w:val="auto"/>
          <w:sz w:val="24"/>
          <w:highlight w:val="none"/>
        </w:rPr>
      </w:pPr>
    </w:p>
    <w:p>
      <w:pPr>
        <w:spacing w:line="440" w:lineRule="exact"/>
        <w:ind w:firstLine="482" w:firstLineChars="200"/>
        <w:rPr>
          <w:rFonts w:ascii="宋体" w:hAnsi="宋体" w:cs="宋体"/>
          <w:b/>
          <w:color w:val="auto"/>
          <w:sz w:val="24"/>
          <w:highlight w:val="none"/>
        </w:rPr>
      </w:pPr>
    </w:p>
    <w:p>
      <w:pPr>
        <w:spacing w:line="440" w:lineRule="exact"/>
        <w:ind w:firstLine="482" w:firstLineChars="200"/>
        <w:rPr>
          <w:rFonts w:ascii="宋体" w:hAnsi="宋体" w:cs="宋体"/>
          <w:b/>
          <w:color w:val="auto"/>
          <w:sz w:val="24"/>
          <w:highlight w:val="none"/>
        </w:rPr>
      </w:pPr>
    </w:p>
    <w:p>
      <w:pPr>
        <w:spacing w:line="440" w:lineRule="exact"/>
        <w:ind w:firstLine="482" w:firstLineChars="200"/>
        <w:rPr>
          <w:rFonts w:ascii="宋体" w:hAnsi="宋体" w:cs="宋体"/>
          <w:b/>
          <w:color w:val="auto"/>
          <w:sz w:val="24"/>
          <w:highlight w:val="none"/>
        </w:rPr>
      </w:pPr>
    </w:p>
    <w:p>
      <w:pPr>
        <w:spacing w:line="440" w:lineRule="exact"/>
        <w:ind w:firstLine="482" w:firstLineChars="200"/>
        <w:rPr>
          <w:rFonts w:ascii="宋体" w:hAnsi="宋体" w:cs="宋体"/>
          <w:b/>
          <w:color w:val="auto"/>
          <w:sz w:val="24"/>
          <w:highlight w:val="none"/>
        </w:rPr>
      </w:pPr>
    </w:p>
    <w:p>
      <w:pPr>
        <w:spacing w:line="440" w:lineRule="exact"/>
        <w:ind w:firstLine="482" w:firstLineChars="200"/>
        <w:rPr>
          <w:rFonts w:ascii="宋体" w:hAnsi="宋体" w:cs="宋体"/>
          <w:b/>
          <w:color w:val="auto"/>
          <w:sz w:val="24"/>
          <w:highlight w:val="none"/>
        </w:rPr>
      </w:pPr>
    </w:p>
    <w:p>
      <w:pPr>
        <w:spacing w:line="440" w:lineRule="exact"/>
        <w:ind w:firstLine="482" w:firstLineChars="200"/>
        <w:rPr>
          <w:rFonts w:ascii="宋体" w:hAnsi="宋体" w:cs="宋体"/>
          <w:b/>
          <w:color w:val="auto"/>
          <w:sz w:val="24"/>
          <w:highlight w:val="none"/>
        </w:rPr>
      </w:pPr>
    </w:p>
    <w:p>
      <w:pPr>
        <w:spacing w:line="440" w:lineRule="exact"/>
        <w:ind w:firstLine="482" w:firstLineChars="200"/>
        <w:rPr>
          <w:rFonts w:ascii="宋体" w:hAnsi="宋体" w:cs="宋体"/>
          <w:b/>
          <w:color w:val="auto"/>
          <w:sz w:val="24"/>
          <w:highlight w:val="none"/>
        </w:rPr>
      </w:pPr>
    </w:p>
    <w:p>
      <w:pPr>
        <w:spacing w:line="440" w:lineRule="exact"/>
        <w:ind w:firstLine="482" w:firstLineChars="200"/>
        <w:rPr>
          <w:rFonts w:ascii="宋体" w:hAnsi="宋体" w:cs="宋体"/>
          <w:b/>
          <w:color w:val="auto"/>
          <w:sz w:val="24"/>
          <w:highlight w:val="none"/>
        </w:rPr>
      </w:pPr>
    </w:p>
    <w:p>
      <w:pPr>
        <w:pStyle w:val="4"/>
        <w:spacing w:line="440" w:lineRule="exact"/>
        <w:jc w:val="center"/>
        <w:rPr>
          <w:rFonts w:ascii="宋体" w:hAnsi="宋体" w:cs="宋体"/>
          <w:color w:val="auto"/>
          <w:sz w:val="32"/>
          <w:szCs w:val="32"/>
          <w:highlight w:val="none"/>
        </w:rPr>
      </w:pPr>
      <w:bookmarkStart w:id="67" w:name="_Toc88747294"/>
      <w:r>
        <w:rPr>
          <w:rFonts w:hint="eastAsia" w:ascii="宋体" w:hAnsi="宋体" w:cs="宋体"/>
          <w:color w:val="auto"/>
          <w:sz w:val="32"/>
          <w:szCs w:val="32"/>
          <w:highlight w:val="none"/>
        </w:rPr>
        <w:t>第四章 响应文件格式</w:t>
      </w:r>
      <w:bookmarkEnd w:id="67"/>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pacing w:line="440" w:lineRule="exact"/>
        <w:jc w:val="left"/>
        <w:rPr>
          <w:rFonts w:ascii="宋体" w:hAnsi="宋体" w:cs="宋体"/>
          <w:b/>
          <w:bCs/>
          <w:color w:val="auto"/>
          <w:szCs w:val="21"/>
          <w:highlight w:val="none"/>
        </w:rPr>
      </w:pPr>
      <w:r>
        <w:rPr>
          <w:rFonts w:hint="eastAsia" w:ascii="宋体" w:hAnsi="宋体" w:cs="宋体"/>
          <w:b/>
          <w:color w:val="auto"/>
          <w:sz w:val="32"/>
          <w:szCs w:val="32"/>
          <w:highlight w:val="none"/>
        </w:rPr>
        <w:br w:type="page"/>
      </w:r>
      <w:r>
        <w:rPr>
          <w:rFonts w:hint="eastAsia" w:ascii="宋体" w:hAnsi="宋体" w:cs="宋体"/>
          <w:b/>
          <w:bCs/>
          <w:color w:val="auto"/>
          <w:szCs w:val="21"/>
          <w:highlight w:val="none"/>
        </w:rPr>
        <w:t>一、响应文件袋外层包装封面格式</w:t>
      </w:r>
    </w:p>
    <w:p>
      <w:pPr>
        <w:snapToGrid w:val="0"/>
        <w:spacing w:before="120" w:beforeLines="50" w:after="50" w:line="440" w:lineRule="exact"/>
        <w:rPr>
          <w:rFonts w:ascii="宋体" w:hAnsi="宋体" w:cs="宋体"/>
          <w:b/>
          <w:bCs/>
          <w:color w:val="auto"/>
          <w:szCs w:val="21"/>
          <w:highlight w:val="none"/>
        </w:rPr>
      </w:pPr>
      <w:r>
        <w:rPr>
          <w:rFonts w:hint="eastAsia" w:ascii="宋体" w:hAnsi="宋体" w:cs="宋体"/>
          <w:b/>
          <w:bCs/>
          <w:color w:val="auto"/>
          <w:szCs w:val="21"/>
          <w:highlight w:val="none"/>
        </w:rPr>
        <w:t>1.所有文件（资格证明文件、商务和技术文件、报价文件）的外装封面格式：</w:t>
      </w:r>
    </w:p>
    <w:p>
      <w:pPr>
        <w:snapToGrid w:val="0"/>
        <w:spacing w:before="120" w:beforeLines="50" w:after="50" w:line="440" w:lineRule="exact"/>
        <w:jc w:val="center"/>
        <w:rPr>
          <w:rFonts w:ascii="宋体" w:hAnsi="宋体" w:cs="宋体"/>
          <w:bCs/>
          <w:color w:val="auto"/>
          <w:szCs w:val="21"/>
          <w:highlight w:val="none"/>
        </w:rPr>
      </w:pPr>
    </w:p>
    <w:p>
      <w:pPr>
        <w:snapToGrid w:val="0"/>
        <w:spacing w:before="120" w:beforeLines="50" w:after="50" w:line="440" w:lineRule="exact"/>
        <w:jc w:val="center"/>
        <w:rPr>
          <w:rFonts w:ascii="宋体" w:hAnsi="宋体" w:cs="宋体"/>
          <w:bCs/>
          <w:color w:val="auto"/>
          <w:szCs w:val="21"/>
          <w:highlight w:val="none"/>
        </w:rPr>
      </w:pPr>
    </w:p>
    <w:p>
      <w:pPr>
        <w:snapToGrid w:val="0"/>
        <w:spacing w:before="120" w:beforeLines="50" w:after="50" w:line="440" w:lineRule="exact"/>
        <w:jc w:val="center"/>
        <w:rPr>
          <w:rFonts w:ascii="宋体" w:hAnsi="宋体" w:cs="宋体"/>
          <w:bCs/>
          <w:color w:val="auto"/>
          <w:szCs w:val="21"/>
          <w:highlight w:val="none"/>
        </w:rPr>
      </w:pPr>
    </w:p>
    <w:p>
      <w:pPr>
        <w:snapToGrid w:val="0"/>
        <w:spacing w:before="120" w:beforeLines="50" w:after="50" w:line="440" w:lineRule="exact"/>
        <w:jc w:val="center"/>
        <w:rPr>
          <w:rFonts w:ascii="宋体" w:hAnsi="宋体" w:cs="宋体"/>
          <w:b/>
          <w:bCs/>
          <w:color w:val="auto"/>
          <w:sz w:val="52"/>
          <w:szCs w:val="52"/>
          <w:highlight w:val="none"/>
        </w:rPr>
      </w:pPr>
      <w:r>
        <w:rPr>
          <w:rFonts w:hint="eastAsia" w:ascii="宋体" w:hAnsi="宋体" w:cs="宋体"/>
          <w:b/>
          <w:bCs/>
          <w:color w:val="auto"/>
          <w:sz w:val="52"/>
          <w:szCs w:val="52"/>
          <w:highlight w:val="none"/>
        </w:rPr>
        <w:t>响  应 文 件 袋</w:t>
      </w:r>
    </w:p>
    <w:p>
      <w:pPr>
        <w:snapToGrid w:val="0"/>
        <w:spacing w:before="120" w:beforeLines="50" w:after="50" w:line="440" w:lineRule="exact"/>
        <w:jc w:val="center"/>
        <w:rPr>
          <w:rFonts w:ascii="宋体" w:hAnsi="宋体" w:cs="宋体"/>
          <w:bCs/>
          <w:color w:val="auto"/>
          <w:sz w:val="52"/>
          <w:szCs w:val="52"/>
          <w:highlight w:val="none"/>
        </w:rPr>
      </w:pPr>
    </w:p>
    <w:p>
      <w:pPr>
        <w:snapToGrid w:val="0"/>
        <w:spacing w:before="120" w:beforeLines="50" w:after="50" w:line="440" w:lineRule="exact"/>
        <w:jc w:val="center"/>
        <w:rPr>
          <w:rFonts w:ascii="宋体" w:hAnsi="宋体" w:cs="宋体"/>
          <w:bCs/>
          <w:color w:val="auto"/>
          <w:sz w:val="52"/>
          <w:szCs w:val="52"/>
          <w:highlight w:val="none"/>
        </w:rPr>
      </w:pPr>
    </w:p>
    <w:p>
      <w:pPr>
        <w:snapToGrid w:val="0"/>
        <w:spacing w:before="120" w:beforeLines="50" w:after="50" w:line="440" w:lineRule="exact"/>
        <w:rPr>
          <w:rFonts w:ascii="宋体" w:hAnsi="宋体" w:cs="宋体"/>
          <w:bCs/>
          <w:color w:val="auto"/>
          <w:szCs w:val="21"/>
          <w:highlight w:val="none"/>
        </w:rPr>
      </w:pPr>
    </w:p>
    <w:p>
      <w:pPr>
        <w:snapToGrid w:val="0"/>
        <w:spacing w:before="120" w:beforeLines="50" w:after="50" w:line="440" w:lineRule="exact"/>
        <w:ind w:firstLine="450" w:firstLineChars="150"/>
        <w:rPr>
          <w:rFonts w:ascii="宋体" w:hAnsi="宋体" w:cs="宋体"/>
          <w:bCs/>
          <w:color w:val="auto"/>
          <w:sz w:val="30"/>
          <w:szCs w:val="30"/>
          <w:highlight w:val="none"/>
        </w:rPr>
      </w:pPr>
      <w:r>
        <w:rPr>
          <w:rFonts w:hint="eastAsia" w:ascii="宋体" w:hAnsi="宋体" w:cs="宋体"/>
          <w:bCs/>
          <w:color w:val="auto"/>
          <w:sz w:val="30"/>
          <w:szCs w:val="30"/>
          <w:highlight w:val="none"/>
        </w:rPr>
        <w:t>项目名称：</w:t>
      </w:r>
    </w:p>
    <w:p>
      <w:pPr>
        <w:snapToGrid w:val="0"/>
        <w:spacing w:before="120" w:beforeLines="50" w:after="50" w:line="440" w:lineRule="exact"/>
        <w:ind w:firstLine="450" w:firstLineChars="150"/>
        <w:rPr>
          <w:rFonts w:ascii="宋体" w:hAnsi="宋体" w:cs="宋体"/>
          <w:bCs/>
          <w:color w:val="auto"/>
          <w:sz w:val="30"/>
          <w:szCs w:val="30"/>
          <w:highlight w:val="none"/>
        </w:rPr>
      </w:pPr>
    </w:p>
    <w:p>
      <w:pPr>
        <w:snapToGrid w:val="0"/>
        <w:spacing w:before="120" w:beforeLines="50" w:after="50" w:line="440" w:lineRule="exact"/>
        <w:ind w:firstLine="450" w:firstLineChars="150"/>
        <w:rPr>
          <w:rFonts w:ascii="宋体" w:hAnsi="宋体" w:cs="宋体"/>
          <w:bCs/>
          <w:color w:val="auto"/>
          <w:sz w:val="30"/>
          <w:szCs w:val="30"/>
          <w:highlight w:val="none"/>
        </w:rPr>
      </w:pPr>
      <w:r>
        <w:rPr>
          <w:rFonts w:hint="eastAsia" w:ascii="宋体" w:hAnsi="宋体" w:cs="宋体"/>
          <w:bCs/>
          <w:color w:val="auto"/>
          <w:sz w:val="30"/>
          <w:szCs w:val="30"/>
          <w:highlight w:val="none"/>
        </w:rPr>
        <w:t xml:space="preserve">项目编号： </w:t>
      </w:r>
    </w:p>
    <w:p>
      <w:pPr>
        <w:snapToGrid w:val="0"/>
        <w:spacing w:before="120" w:beforeLines="50" w:after="50" w:line="440" w:lineRule="exact"/>
        <w:ind w:firstLine="450" w:firstLineChars="150"/>
        <w:rPr>
          <w:rFonts w:ascii="宋体" w:hAnsi="宋体" w:cs="宋体"/>
          <w:bCs/>
          <w:color w:val="auto"/>
          <w:sz w:val="30"/>
          <w:szCs w:val="30"/>
          <w:highlight w:val="none"/>
        </w:rPr>
      </w:pPr>
    </w:p>
    <w:p>
      <w:pPr>
        <w:pStyle w:val="11"/>
        <w:snapToGrid w:val="0"/>
        <w:spacing w:before="50" w:after="50" w:line="440" w:lineRule="exact"/>
        <w:ind w:firstLine="450" w:firstLineChars="150"/>
        <w:rPr>
          <w:rFonts w:ascii="宋体" w:hAnsi="宋体" w:cs="宋体"/>
          <w:bCs/>
          <w:color w:val="auto"/>
          <w:sz w:val="30"/>
          <w:szCs w:val="30"/>
          <w:highlight w:val="none"/>
        </w:rPr>
      </w:pPr>
      <w:r>
        <w:rPr>
          <w:rFonts w:hint="eastAsia" w:ascii="宋体" w:hAnsi="宋体" w:cs="宋体"/>
          <w:bCs/>
          <w:color w:val="auto"/>
          <w:sz w:val="30"/>
          <w:szCs w:val="30"/>
          <w:highlight w:val="none"/>
        </w:rPr>
        <w:t>标    项：（如有则填写，无分标时填写“无”或者留空）</w:t>
      </w:r>
    </w:p>
    <w:p>
      <w:pPr>
        <w:pStyle w:val="11"/>
        <w:snapToGrid w:val="0"/>
        <w:spacing w:before="50" w:after="50" w:line="440" w:lineRule="exact"/>
        <w:ind w:firstLine="450" w:firstLineChars="150"/>
        <w:rPr>
          <w:rFonts w:ascii="宋体" w:hAnsi="宋体" w:cs="宋体"/>
          <w:bCs/>
          <w:color w:val="auto"/>
          <w:sz w:val="30"/>
          <w:szCs w:val="30"/>
          <w:highlight w:val="none"/>
        </w:rPr>
      </w:pPr>
    </w:p>
    <w:p>
      <w:pPr>
        <w:pStyle w:val="11"/>
        <w:snapToGrid w:val="0"/>
        <w:spacing w:before="50" w:after="50" w:line="440" w:lineRule="exact"/>
        <w:ind w:firstLine="450" w:firstLineChars="150"/>
        <w:rPr>
          <w:rFonts w:ascii="宋体" w:hAnsi="宋体" w:cs="宋体"/>
          <w:bCs/>
          <w:color w:val="auto"/>
          <w:sz w:val="30"/>
          <w:szCs w:val="30"/>
          <w:highlight w:val="none"/>
        </w:rPr>
      </w:pPr>
      <w:r>
        <w:rPr>
          <w:rFonts w:hint="eastAsia" w:ascii="宋体" w:hAnsi="宋体" w:cs="宋体"/>
          <w:bCs/>
          <w:color w:val="auto"/>
          <w:sz w:val="30"/>
          <w:szCs w:val="30"/>
          <w:highlight w:val="none"/>
        </w:rPr>
        <w:t>供应商名称：</w:t>
      </w:r>
      <w:r>
        <w:rPr>
          <w:rFonts w:hint="eastAsia" w:ascii="宋体" w:hAnsi="宋体" w:cs="宋体"/>
          <w:bCs/>
          <w:color w:val="auto"/>
          <w:sz w:val="30"/>
          <w:szCs w:val="30"/>
          <w:highlight w:val="none"/>
          <w:u w:val="single"/>
        </w:rPr>
        <w:t xml:space="preserve">             全称           </w:t>
      </w:r>
      <w:r>
        <w:rPr>
          <w:rFonts w:hint="eastAsia" w:ascii="宋体" w:hAnsi="宋体" w:cs="宋体"/>
          <w:bCs/>
          <w:color w:val="auto"/>
          <w:sz w:val="30"/>
          <w:szCs w:val="30"/>
          <w:highlight w:val="none"/>
        </w:rPr>
        <w:t>（加盖单位电子公章）</w:t>
      </w:r>
    </w:p>
    <w:p>
      <w:pPr>
        <w:pStyle w:val="11"/>
        <w:snapToGrid w:val="0"/>
        <w:spacing w:before="50" w:after="50" w:line="440" w:lineRule="exact"/>
        <w:ind w:firstLine="450" w:firstLineChars="150"/>
        <w:rPr>
          <w:rFonts w:ascii="宋体" w:hAnsi="宋体" w:cs="宋体"/>
          <w:bCs/>
          <w:color w:val="auto"/>
          <w:sz w:val="30"/>
          <w:szCs w:val="30"/>
          <w:highlight w:val="none"/>
        </w:rPr>
      </w:pPr>
    </w:p>
    <w:p>
      <w:pPr>
        <w:pStyle w:val="11"/>
        <w:snapToGrid w:val="0"/>
        <w:spacing w:before="50" w:after="50" w:line="440" w:lineRule="exact"/>
        <w:ind w:firstLine="450" w:firstLineChars="150"/>
        <w:rPr>
          <w:rFonts w:ascii="宋体" w:hAnsi="宋体" w:cs="宋体"/>
          <w:bCs/>
          <w:color w:val="auto"/>
          <w:sz w:val="30"/>
          <w:szCs w:val="30"/>
          <w:highlight w:val="none"/>
        </w:rPr>
      </w:pPr>
      <w:r>
        <w:rPr>
          <w:rFonts w:hint="eastAsia" w:ascii="宋体" w:hAnsi="宋体" w:cs="宋体"/>
          <w:bCs/>
          <w:color w:val="auto"/>
          <w:sz w:val="30"/>
          <w:szCs w:val="30"/>
          <w:highlight w:val="none"/>
        </w:rPr>
        <w:t>供应商地址：</w:t>
      </w:r>
    </w:p>
    <w:p>
      <w:pPr>
        <w:pStyle w:val="11"/>
        <w:snapToGrid w:val="0"/>
        <w:spacing w:before="50" w:after="50" w:line="440" w:lineRule="exact"/>
        <w:ind w:firstLine="450" w:firstLineChars="150"/>
        <w:rPr>
          <w:rFonts w:ascii="宋体" w:hAnsi="宋体" w:cs="宋体"/>
          <w:bCs/>
          <w:color w:val="auto"/>
          <w:sz w:val="30"/>
          <w:szCs w:val="30"/>
          <w:highlight w:val="none"/>
        </w:rPr>
      </w:pPr>
    </w:p>
    <w:p>
      <w:pPr>
        <w:pStyle w:val="11"/>
        <w:snapToGrid w:val="0"/>
        <w:spacing w:before="50" w:after="50" w:line="440" w:lineRule="exact"/>
        <w:ind w:firstLine="450" w:firstLineChars="150"/>
        <w:rPr>
          <w:rFonts w:ascii="宋体" w:hAnsi="宋体" w:cs="宋体"/>
          <w:bCs/>
          <w:color w:val="auto"/>
          <w:sz w:val="30"/>
          <w:szCs w:val="30"/>
          <w:highlight w:val="none"/>
        </w:rPr>
      </w:pPr>
    </w:p>
    <w:p>
      <w:pPr>
        <w:pStyle w:val="11"/>
        <w:snapToGrid w:val="0"/>
        <w:spacing w:before="50" w:after="50" w:line="440" w:lineRule="exact"/>
        <w:ind w:firstLine="360" w:firstLineChars="150"/>
        <w:rPr>
          <w:rFonts w:ascii="宋体" w:hAnsi="宋体" w:cs="宋体"/>
          <w:bCs/>
          <w:color w:val="auto"/>
          <w:sz w:val="30"/>
          <w:szCs w:val="30"/>
          <w:highlight w:val="none"/>
        </w:rPr>
      </w:pPr>
      <w:r>
        <w:rPr>
          <w:rFonts w:hint="eastAsia" w:ascii="宋体" w:hAnsi="宋体" w:cs="宋体"/>
          <w:bCs/>
          <w:color w:val="auto"/>
          <w:sz w:val="24"/>
          <w:highlight w:val="none"/>
        </w:rPr>
        <w:t>在首次响应文件提交截止时间之前不得解密</w:t>
      </w:r>
    </w:p>
    <w:p>
      <w:pPr>
        <w:pStyle w:val="11"/>
        <w:snapToGrid w:val="0"/>
        <w:spacing w:before="50" w:after="50" w:line="440" w:lineRule="exact"/>
        <w:ind w:firstLine="450" w:firstLineChars="150"/>
        <w:rPr>
          <w:rFonts w:ascii="宋体" w:hAnsi="宋体" w:cs="宋体"/>
          <w:bCs/>
          <w:color w:val="auto"/>
          <w:sz w:val="30"/>
          <w:szCs w:val="30"/>
          <w:highlight w:val="none"/>
        </w:rPr>
      </w:pPr>
    </w:p>
    <w:p>
      <w:pPr>
        <w:pStyle w:val="11"/>
        <w:snapToGrid w:val="0"/>
        <w:spacing w:before="50" w:after="50" w:line="440" w:lineRule="exact"/>
        <w:ind w:firstLine="0"/>
        <w:rPr>
          <w:rFonts w:ascii="宋体" w:hAnsi="宋体" w:cs="宋体"/>
          <w:bCs/>
          <w:color w:val="auto"/>
          <w:sz w:val="30"/>
          <w:szCs w:val="30"/>
          <w:highlight w:val="none"/>
        </w:rPr>
      </w:pPr>
    </w:p>
    <w:p>
      <w:pPr>
        <w:pStyle w:val="11"/>
        <w:snapToGrid w:val="0"/>
        <w:spacing w:before="50" w:after="50" w:line="440" w:lineRule="exact"/>
        <w:ind w:firstLine="450" w:firstLineChars="150"/>
        <w:jc w:val="center"/>
        <w:rPr>
          <w:rFonts w:ascii="宋体" w:hAnsi="宋体" w:cs="宋体"/>
          <w:color w:val="auto"/>
          <w:szCs w:val="21"/>
          <w:highlight w:val="none"/>
        </w:rPr>
      </w:pPr>
      <w:r>
        <w:rPr>
          <w:rFonts w:hint="eastAsia" w:ascii="宋体" w:hAnsi="宋体" w:cs="宋体"/>
          <w:bCs/>
          <w:color w:val="auto"/>
          <w:sz w:val="30"/>
          <w:szCs w:val="30"/>
          <w:highlight w:val="none"/>
        </w:rPr>
        <w:t xml:space="preserve">                          年    月    日</w:t>
      </w:r>
    </w:p>
    <w:p>
      <w:pPr>
        <w:snapToGrid w:val="0"/>
        <w:spacing w:before="120" w:beforeLines="50" w:after="50" w:line="440" w:lineRule="exact"/>
        <w:outlineLvl w:val="1"/>
        <w:rPr>
          <w:rFonts w:ascii="宋体" w:hAnsi="宋体" w:cs="宋体"/>
          <w:b/>
          <w:bCs/>
          <w:color w:val="auto"/>
          <w:szCs w:val="21"/>
          <w:highlight w:val="none"/>
        </w:rPr>
      </w:pPr>
      <w:bookmarkStart w:id="68" w:name="_Toc254970698"/>
      <w:bookmarkStart w:id="69" w:name="_Toc254970557"/>
      <w:r>
        <w:rPr>
          <w:rFonts w:hint="eastAsia" w:ascii="宋体" w:hAnsi="宋体" w:cs="宋体"/>
          <w:b/>
          <w:bCs/>
          <w:color w:val="auto"/>
          <w:szCs w:val="21"/>
          <w:highlight w:val="none"/>
        </w:rPr>
        <w:br w:type="page"/>
      </w:r>
      <w:bookmarkEnd w:id="68"/>
      <w:bookmarkEnd w:id="69"/>
      <w:r>
        <w:rPr>
          <w:rFonts w:hint="eastAsia" w:ascii="宋体" w:hAnsi="宋体" w:cs="宋体"/>
          <w:b/>
          <w:bCs/>
          <w:color w:val="auto"/>
          <w:szCs w:val="21"/>
          <w:highlight w:val="none"/>
        </w:rPr>
        <w:t>二、响应文件格式</w:t>
      </w:r>
    </w:p>
    <w:p>
      <w:pPr>
        <w:snapToGrid w:val="0"/>
        <w:spacing w:before="120" w:beforeLines="50" w:after="50" w:line="440" w:lineRule="exact"/>
        <w:rPr>
          <w:rFonts w:ascii="宋体" w:hAnsi="宋体" w:cs="宋体"/>
          <w:b/>
          <w:bCs/>
          <w:color w:val="auto"/>
          <w:szCs w:val="21"/>
          <w:highlight w:val="none"/>
        </w:rPr>
      </w:pPr>
    </w:p>
    <w:p>
      <w:pPr>
        <w:snapToGrid w:val="0"/>
        <w:spacing w:before="120" w:beforeLines="50" w:after="50" w:line="440" w:lineRule="exact"/>
        <w:rPr>
          <w:rFonts w:ascii="宋体" w:hAnsi="宋体" w:cs="宋体"/>
          <w:b/>
          <w:bCs/>
          <w:color w:val="auto"/>
          <w:szCs w:val="21"/>
          <w:highlight w:val="none"/>
        </w:rPr>
      </w:pPr>
      <w:r>
        <w:rPr>
          <w:rFonts w:hint="eastAsia" w:ascii="宋体" w:hAnsi="宋体" w:cs="宋体"/>
          <w:b/>
          <w:bCs/>
          <w:color w:val="auto"/>
          <w:szCs w:val="21"/>
          <w:highlight w:val="none"/>
        </w:rPr>
        <w:t>1、资格证明文件格式：</w:t>
      </w: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napToGrid w:val="0"/>
        <w:spacing w:before="120" w:beforeLines="50" w:after="50" w:line="440" w:lineRule="exact"/>
        <w:ind w:firstLine="8" w:firstLineChars="3"/>
        <w:jc w:val="right"/>
        <w:rPr>
          <w:rFonts w:ascii="宋体" w:hAnsi="宋体" w:cs="宋体"/>
          <w:bCs/>
          <w:color w:val="auto"/>
          <w:sz w:val="28"/>
          <w:szCs w:val="28"/>
          <w:highlight w:val="none"/>
        </w:rPr>
      </w:pPr>
      <w:r>
        <w:rPr>
          <w:rFonts w:hint="eastAsia" w:ascii="宋体" w:hAnsi="宋体" w:cs="宋体"/>
          <w:bCs/>
          <w:color w:val="auto"/>
          <w:sz w:val="28"/>
          <w:szCs w:val="28"/>
          <w:highlight w:val="none"/>
        </w:rPr>
        <w:t>电子响应文件</w:t>
      </w:r>
    </w:p>
    <w:p>
      <w:pPr>
        <w:snapToGrid w:val="0"/>
        <w:spacing w:before="120" w:beforeLines="50" w:after="50" w:line="440" w:lineRule="exact"/>
        <w:ind w:firstLine="9" w:firstLineChars="3"/>
        <w:jc w:val="center"/>
        <w:rPr>
          <w:rFonts w:ascii="宋体" w:hAnsi="宋体" w:cs="宋体"/>
          <w:bCs/>
          <w:color w:val="auto"/>
          <w:sz w:val="32"/>
          <w:szCs w:val="32"/>
          <w:highlight w:val="none"/>
        </w:rPr>
      </w:pPr>
    </w:p>
    <w:p>
      <w:pPr>
        <w:snapToGrid w:val="0"/>
        <w:spacing w:before="120" w:beforeLines="50" w:after="50" w:line="440" w:lineRule="exact"/>
        <w:ind w:firstLine="9" w:firstLineChars="3"/>
        <w:jc w:val="center"/>
        <w:rPr>
          <w:rFonts w:ascii="宋体" w:hAnsi="宋体" w:cs="宋体"/>
          <w:bCs/>
          <w:color w:val="auto"/>
          <w:sz w:val="32"/>
          <w:szCs w:val="32"/>
          <w:highlight w:val="none"/>
        </w:rPr>
      </w:pPr>
    </w:p>
    <w:p>
      <w:pPr>
        <w:snapToGrid w:val="0"/>
        <w:spacing w:before="120" w:beforeLines="50" w:after="50" w:line="440" w:lineRule="exact"/>
        <w:ind w:firstLine="9" w:firstLineChars="3"/>
        <w:jc w:val="center"/>
        <w:rPr>
          <w:rFonts w:ascii="宋体" w:hAnsi="宋体" w:cs="宋体"/>
          <w:bCs/>
          <w:color w:val="auto"/>
          <w:sz w:val="32"/>
          <w:szCs w:val="32"/>
          <w:highlight w:val="none"/>
        </w:rPr>
      </w:pPr>
    </w:p>
    <w:p>
      <w:pPr>
        <w:snapToGrid w:val="0"/>
        <w:spacing w:before="120" w:beforeLines="50" w:after="50" w:line="440" w:lineRule="exact"/>
        <w:ind w:firstLine="13" w:firstLineChars="3"/>
        <w:jc w:val="center"/>
        <w:rPr>
          <w:rFonts w:ascii="宋体" w:hAnsi="宋体" w:cs="宋体"/>
          <w:bCs/>
          <w:color w:val="auto"/>
          <w:sz w:val="44"/>
          <w:szCs w:val="44"/>
          <w:highlight w:val="none"/>
        </w:rPr>
      </w:pPr>
      <w:r>
        <w:rPr>
          <w:rFonts w:hint="eastAsia" w:ascii="宋体" w:hAnsi="宋体" w:cs="宋体"/>
          <w:bCs/>
          <w:color w:val="auto"/>
          <w:sz w:val="44"/>
          <w:szCs w:val="44"/>
          <w:highlight w:val="none"/>
        </w:rPr>
        <w:t>响应文件</w:t>
      </w:r>
    </w:p>
    <w:p>
      <w:pPr>
        <w:snapToGrid w:val="0"/>
        <w:spacing w:before="120" w:beforeLines="50" w:after="50" w:line="440" w:lineRule="exact"/>
        <w:ind w:firstLine="9" w:firstLineChars="3"/>
        <w:jc w:val="center"/>
        <w:rPr>
          <w:rFonts w:ascii="宋体" w:hAnsi="宋体" w:cs="宋体"/>
          <w:bCs/>
          <w:color w:val="auto"/>
          <w:sz w:val="32"/>
          <w:szCs w:val="32"/>
          <w:highlight w:val="none"/>
        </w:rPr>
      </w:pPr>
      <w:r>
        <w:rPr>
          <w:rFonts w:hint="eastAsia" w:ascii="宋体" w:hAnsi="宋体" w:cs="宋体"/>
          <w:bCs/>
          <w:color w:val="auto"/>
          <w:sz w:val="32"/>
          <w:szCs w:val="32"/>
          <w:highlight w:val="none"/>
        </w:rPr>
        <w:t>（资格证明文件）</w:t>
      </w:r>
    </w:p>
    <w:p>
      <w:pPr>
        <w:snapToGrid w:val="0"/>
        <w:spacing w:before="120" w:beforeLines="50" w:after="50" w:line="440" w:lineRule="exact"/>
        <w:rPr>
          <w:rFonts w:ascii="宋体" w:hAnsi="宋体" w:cs="宋体"/>
          <w:bCs/>
          <w:color w:val="auto"/>
          <w:szCs w:val="21"/>
          <w:highlight w:val="none"/>
        </w:rPr>
      </w:pPr>
    </w:p>
    <w:p>
      <w:pPr>
        <w:snapToGrid w:val="0"/>
        <w:spacing w:before="120" w:beforeLines="50" w:after="50"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项目名称：</w:t>
      </w:r>
    </w:p>
    <w:p>
      <w:pPr>
        <w:snapToGrid w:val="0"/>
        <w:spacing w:before="120" w:beforeLines="50" w:after="50" w:line="440" w:lineRule="exact"/>
        <w:ind w:firstLine="675" w:firstLineChars="225"/>
        <w:rPr>
          <w:rFonts w:ascii="宋体" w:hAnsi="宋体" w:cs="宋体"/>
          <w:bCs/>
          <w:color w:val="auto"/>
          <w:sz w:val="30"/>
          <w:szCs w:val="30"/>
          <w:highlight w:val="none"/>
        </w:rPr>
      </w:pPr>
    </w:p>
    <w:p>
      <w:pPr>
        <w:snapToGrid w:val="0"/>
        <w:spacing w:before="120" w:beforeLines="50" w:after="50"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项目编号：</w:t>
      </w:r>
    </w:p>
    <w:p>
      <w:pPr>
        <w:snapToGrid w:val="0"/>
        <w:spacing w:before="120" w:beforeLines="50" w:after="50" w:line="440" w:lineRule="exact"/>
        <w:ind w:firstLine="675" w:firstLineChars="225"/>
        <w:rPr>
          <w:rFonts w:ascii="宋体" w:hAnsi="宋体" w:cs="宋体"/>
          <w:bCs/>
          <w:color w:val="auto"/>
          <w:sz w:val="30"/>
          <w:szCs w:val="30"/>
          <w:highlight w:val="none"/>
        </w:rPr>
      </w:pPr>
    </w:p>
    <w:p>
      <w:pPr>
        <w:snapToGrid w:val="0"/>
        <w:spacing w:before="120" w:beforeLines="50" w:after="50"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标    项：（如有则填写，无分标时填写“无”或者留空）</w:t>
      </w:r>
    </w:p>
    <w:p>
      <w:pPr>
        <w:snapToGrid w:val="0"/>
        <w:spacing w:before="120" w:beforeLines="50" w:after="50" w:line="440" w:lineRule="exact"/>
        <w:ind w:firstLine="675" w:firstLineChars="225"/>
        <w:rPr>
          <w:rFonts w:ascii="宋体" w:hAnsi="宋体" w:cs="宋体"/>
          <w:bCs/>
          <w:color w:val="auto"/>
          <w:sz w:val="30"/>
          <w:szCs w:val="30"/>
          <w:highlight w:val="none"/>
        </w:rPr>
      </w:pPr>
    </w:p>
    <w:p>
      <w:pPr>
        <w:pStyle w:val="11"/>
        <w:snapToGrid w:val="0"/>
        <w:spacing w:before="100" w:beforeAutospacing="1" w:after="100" w:afterAutospacing="1"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供应商名称：（加盖单位电子公章）</w:t>
      </w:r>
    </w:p>
    <w:p>
      <w:pPr>
        <w:pStyle w:val="11"/>
        <w:snapToGrid w:val="0"/>
        <w:spacing w:before="100" w:beforeAutospacing="1" w:after="100" w:afterAutospacing="1" w:line="440" w:lineRule="exact"/>
        <w:ind w:firstLine="675" w:firstLineChars="225"/>
        <w:rPr>
          <w:rFonts w:ascii="宋体" w:hAnsi="宋体" w:cs="宋体"/>
          <w:bCs/>
          <w:color w:val="auto"/>
          <w:sz w:val="30"/>
          <w:szCs w:val="30"/>
          <w:highlight w:val="none"/>
        </w:rPr>
      </w:pPr>
    </w:p>
    <w:p>
      <w:pPr>
        <w:pStyle w:val="11"/>
        <w:snapToGrid w:val="0"/>
        <w:spacing w:before="100" w:beforeAutospacing="1" w:after="100" w:afterAutospacing="1"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供应商地址：</w:t>
      </w:r>
    </w:p>
    <w:p>
      <w:pPr>
        <w:snapToGrid w:val="0"/>
        <w:spacing w:before="120" w:beforeLines="50" w:after="50" w:line="440" w:lineRule="exact"/>
        <w:ind w:firstLine="10"/>
        <w:jc w:val="center"/>
        <w:rPr>
          <w:rFonts w:ascii="宋体" w:hAnsi="宋体" w:cs="宋体"/>
          <w:color w:val="auto"/>
          <w:sz w:val="30"/>
          <w:szCs w:val="30"/>
          <w:highlight w:val="none"/>
        </w:rPr>
      </w:pPr>
    </w:p>
    <w:p>
      <w:pPr>
        <w:snapToGrid w:val="0"/>
        <w:spacing w:before="120" w:beforeLines="50" w:after="50" w:line="440" w:lineRule="exact"/>
        <w:ind w:firstLine="10"/>
        <w:jc w:val="center"/>
        <w:rPr>
          <w:rFonts w:ascii="宋体" w:hAnsi="宋体" w:cs="宋体"/>
          <w:color w:val="auto"/>
          <w:sz w:val="30"/>
          <w:szCs w:val="30"/>
          <w:highlight w:val="none"/>
        </w:rPr>
      </w:pPr>
    </w:p>
    <w:p>
      <w:pPr>
        <w:snapToGrid w:val="0"/>
        <w:spacing w:before="120" w:beforeLines="50" w:after="50" w:line="440" w:lineRule="exact"/>
        <w:ind w:firstLine="10"/>
        <w:jc w:val="center"/>
        <w:rPr>
          <w:rFonts w:ascii="宋体" w:hAnsi="宋体" w:cs="宋体"/>
          <w:color w:val="auto"/>
          <w:sz w:val="30"/>
          <w:szCs w:val="30"/>
          <w:highlight w:val="none"/>
        </w:rPr>
      </w:pPr>
      <w:r>
        <w:rPr>
          <w:rFonts w:hint="eastAsia" w:ascii="宋体" w:hAnsi="宋体" w:cs="宋体"/>
          <w:color w:val="auto"/>
          <w:sz w:val="30"/>
          <w:szCs w:val="30"/>
          <w:highlight w:val="none"/>
        </w:rPr>
        <w:t>年   月   日</w:t>
      </w:r>
    </w:p>
    <w:p>
      <w:pPr>
        <w:snapToGrid w:val="0"/>
        <w:spacing w:before="120" w:beforeLines="50" w:after="50" w:line="440" w:lineRule="exact"/>
        <w:jc w:val="center"/>
        <w:rPr>
          <w:rFonts w:ascii="宋体" w:hAnsi="宋体" w:cs="宋体"/>
          <w:b/>
          <w:color w:val="auto"/>
          <w:szCs w:val="21"/>
          <w:highlight w:val="none"/>
        </w:rPr>
      </w:pPr>
      <w:r>
        <w:rPr>
          <w:rFonts w:hint="eastAsia" w:ascii="宋体" w:hAnsi="宋体" w:cs="宋体"/>
          <w:b/>
          <w:color w:val="auto"/>
          <w:szCs w:val="21"/>
          <w:highlight w:val="none"/>
        </w:rPr>
        <w:br w:type="page"/>
      </w:r>
    </w:p>
    <w:p>
      <w:pPr>
        <w:snapToGrid w:val="0"/>
        <w:spacing w:before="120" w:beforeLines="50" w:after="50" w:line="440" w:lineRule="exact"/>
        <w:jc w:val="center"/>
        <w:rPr>
          <w:rFonts w:ascii="宋体" w:hAnsi="宋体" w:cs="宋体"/>
          <w:b/>
          <w:color w:val="auto"/>
          <w:szCs w:val="21"/>
          <w:highlight w:val="none"/>
        </w:rPr>
      </w:pPr>
    </w:p>
    <w:p>
      <w:pPr>
        <w:snapToGrid w:val="0"/>
        <w:spacing w:before="120" w:beforeLines="50" w:after="50" w:line="440" w:lineRule="exact"/>
        <w:jc w:val="center"/>
        <w:rPr>
          <w:rFonts w:ascii="宋体" w:hAnsi="宋体" w:cs="宋体"/>
          <w:b/>
          <w:color w:val="auto"/>
          <w:sz w:val="44"/>
          <w:szCs w:val="44"/>
          <w:highlight w:val="none"/>
        </w:rPr>
      </w:pPr>
      <w:r>
        <w:rPr>
          <w:rFonts w:hint="eastAsia" w:ascii="宋体" w:hAnsi="宋体" w:cs="宋体"/>
          <w:b/>
          <w:color w:val="auto"/>
          <w:sz w:val="44"/>
          <w:szCs w:val="44"/>
          <w:highlight w:val="none"/>
        </w:rPr>
        <w:t>目录</w:t>
      </w:r>
    </w:p>
    <w:p>
      <w:pPr>
        <w:snapToGrid w:val="0"/>
        <w:spacing w:before="120" w:beforeLines="50" w:after="50" w:line="440" w:lineRule="exact"/>
        <w:jc w:val="center"/>
        <w:rPr>
          <w:rFonts w:ascii="宋体" w:hAnsi="宋体" w:cs="宋体"/>
          <w:color w:val="auto"/>
          <w:sz w:val="28"/>
          <w:szCs w:val="28"/>
          <w:highlight w:val="none"/>
        </w:rPr>
      </w:pP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1、资格证明文件</w:t>
      </w: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1.1</w:t>
      </w:r>
      <w:r>
        <w:rPr>
          <w:rFonts w:hint="eastAsia" w:ascii="宋体" w:hAnsi="宋体" w:cs="宋体"/>
          <w:color w:val="auto"/>
          <w:szCs w:val="21"/>
          <w:highlight w:val="none"/>
        </w:rPr>
        <w:t>磋商声明书</w:t>
      </w:r>
      <w:r>
        <w:rPr>
          <w:rFonts w:hint="eastAsia" w:ascii="宋体" w:hAnsi="宋体" w:cs="宋体"/>
          <w:bCs/>
          <w:color w:val="auto"/>
          <w:szCs w:val="21"/>
          <w:highlight w:val="none"/>
        </w:rPr>
        <w:t>…………………………………………………………………………</w:t>
      </w:r>
    </w:p>
    <w:p>
      <w:pPr>
        <w:tabs>
          <w:tab w:val="left" w:pos="1418"/>
        </w:tabs>
        <w:snapToGrid w:val="0"/>
        <w:spacing w:before="50" w:after="50" w:line="440" w:lineRule="exact"/>
        <w:rPr>
          <w:rFonts w:ascii="宋体" w:hAnsi="宋体" w:cs="宋体"/>
          <w:color w:val="auto"/>
          <w:szCs w:val="21"/>
          <w:highlight w:val="none"/>
        </w:rPr>
      </w:pPr>
      <w:r>
        <w:rPr>
          <w:rFonts w:hint="eastAsia" w:ascii="宋体" w:hAnsi="宋体" w:cs="宋体"/>
          <w:color w:val="auto"/>
          <w:szCs w:val="21"/>
          <w:highlight w:val="none"/>
        </w:rPr>
        <w:t>1.2投标供应商</w:t>
      </w:r>
      <w:r>
        <w:rPr>
          <w:rFonts w:hint="eastAsia" w:ascii="宋体" w:hAnsi="宋体" w:cs="宋体"/>
          <w:color w:val="auto"/>
          <w:highlight w:val="none"/>
        </w:rPr>
        <w:t>合法的主体资格证明（如营业执照、事业单位法人证书、执业许可证、个体工商户营业执照、自然人身份证等）复印件</w:t>
      </w:r>
      <w:r>
        <w:rPr>
          <w:rFonts w:hint="eastAsia" w:ascii="宋体" w:hAnsi="宋体" w:cs="宋体"/>
          <w:color w:val="auto"/>
          <w:szCs w:val="21"/>
          <w:highlight w:val="none"/>
        </w:rPr>
        <w:t>………………………………</w:t>
      </w: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1.3</w:t>
      </w:r>
      <w:r>
        <w:rPr>
          <w:rFonts w:hint="eastAsia" w:ascii="宋体" w:hAnsi="宋体" w:cs="宋体"/>
          <w:color w:val="auto"/>
          <w:szCs w:val="21"/>
          <w:highlight w:val="none"/>
        </w:rPr>
        <w:t>投标供应商依法缴纳税收的相关材料</w:t>
      </w:r>
      <w:r>
        <w:rPr>
          <w:rFonts w:hint="eastAsia" w:ascii="宋体" w:hAnsi="宋体" w:cs="宋体"/>
          <w:bCs/>
          <w:color w:val="auto"/>
          <w:szCs w:val="21"/>
          <w:highlight w:val="none"/>
        </w:rPr>
        <w:t>………………………………………</w:t>
      </w: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1.4</w:t>
      </w:r>
      <w:r>
        <w:rPr>
          <w:rFonts w:hint="eastAsia" w:ascii="宋体" w:hAnsi="宋体" w:cs="宋体"/>
          <w:color w:val="auto"/>
          <w:szCs w:val="21"/>
          <w:highlight w:val="none"/>
        </w:rPr>
        <w:t>投标供应商依法缴纳社会保障资金的相关材料</w:t>
      </w:r>
      <w:r>
        <w:rPr>
          <w:rFonts w:hint="eastAsia" w:ascii="宋体" w:hAnsi="宋体" w:cs="宋体"/>
          <w:bCs/>
          <w:color w:val="auto"/>
          <w:szCs w:val="21"/>
          <w:highlight w:val="none"/>
        </w:rPr>
        <w:t>……………………………………</w:t>
      </w: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1.5供应商财务状况报告复印件……………………………………</w:t>
      </w:r>
    </w:p>
    <w:p>
      <w:pPr>
        <w:tabs>
          <w:tab w:val="left" w:pos="1418"/>
        </w:tabs>
        <w:snapToGrid w:val="0"/>
        <w:spacing w:before="50" w:after="50" w:line="440" w:lineRule="exact"/>
        <w:rPr>
          <w:rFonts w:ascii="宋体" w:hAnsi="宋体" w:cs="宋体"/>
          <w:color w:val="auto"/>
          <w:szCs w:val="21"/>
          <w:highlight w:val="none"/>
        </w:rPr>
      </w:pPr>
      <w:r>
        <w:rPr>
          <w:rFonts w:hint="eastAsia" w:ascii="宋体" w:hAnsi="宋体" w:cs="宋体"/>
          <w:bCs/>
          <w:color w:val="auto"/>
          <w:szCs w:val="21"/>
          <w:highlight w:val="none"/>
        </w:rPr>
        <w:t>1.6参加政府采购活动前三年内在经营活动中没有重大违法记录和不良信用记录的书面声明书………</w:t>
      </w: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1.7总公司“营业执照”副本复印件和总公司对供应商的授权书原件（分支机构参与投标时提供）………</w:t>
      </w: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1.8供应商直接控股、管理关系信息表……………………………………</w:t>
      </w:r>
    </w:p>
    <w:p>
      <w:pPr>
        <w:tabs>
          <w:tab w:val="left" w:pos="1418"/>
        </w:tabs>
        <w:snapToGrid w:val="0"/>
        <w:spacing w:before="50" w:after="50" w:line="440" w:lineRule="exact"/>
        <w:rPr>
          <w:rFonts w:hint="eastAsia" w:ascii="宋体" w:hAnsi="宋体" w:cs="宋体"/>
          <w:bCs/>
          <w:color w:val="auto"/>
          <w:szCs w:val="21"/>
          <w:highlight w:val="none"/>
        </w:rPr>
      </w:pPr>
      <w:r>
        <w:rPr>
          <w:rFonts w:hint="eastAsia" w:ascii="宋体" w:hAnsi="宋体" w:cs="宋体"/>
          <w:bCs/>
          <w:color w:val="auto"/>
          <w:szCs w:val="21"/>
          <w:highlight w:val="none"/>
        </w:rPr>
        <w:t>1.9联合体协议书（联合体投标时提供）……………………………………</w:t>
      </w:r>
    </w:p>
    <w:p>
      <w:pPr>
        <w:tabs>
          <w:tab w:val="left" w:pos="1418"/>
        </w:tabs>
        <w:snapToGrid w:val="0"/>
        <w:spacing w:before="50" w:after="50" w:line="440" w:lineRule="exact"/>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1.10特定资格条件（如有要求）</w:t>
      </w:r>
      <w:r>
        <w:rPr>
          <w:rFonts w:hint="eastAsia" w:ascii="宋体" w:hAnsi="宋体" w:cs="宋体"/>
          <w:bCs/>
          <w:color w:val="auto"/>
          <w:szCs w:val="21"/>
          <w:highlight w:val="none"/>
        </w:rPr>
        <w:t>………………</w:t>
      </w:r>
    </w:p>
    <w:p>
      <w:pPr>
        <w:tabs>
          <w:tab w:val="left" w:pos="1418"/>
        </w:tabs>
        <w:snapToGrid w:val="0"/>
        <w:spacing w:before="50" w:after="50" w:line="440" w:lineRule="exact"/>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1.11</w:t>
      </w:r>
      <w:r>
        <w:rPr>
          <w:rFonts w:hint="eastAsia" w:ascii="宋体" w:hAnsi="宋体" w:cs="宋体"/>
          <w:bCs/>
          <w:color w:val="auto"/>
          <w:szCs w:val="21"/>
          <w:highlight w:val="none"/>
        </w:rPr>
        <w:t>中小企业声明函或监狱企业由省级以上监狱管理局、戒毒管理局（含新疆生产建设兵团）出具的属于监狱企业的证明文件或残疾人福利性单位声明函</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如有要求</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w:t>
      </w:r>
    </w:p>
    <w:p>
      <w:pPr>
        <w:widowControl/>
        <w:spacing w:line="440" w:lineRule="exact"/>
        <w:rPr>
          <w:rFonts w:ascii="宋体" w:hAnsi="宋体" w:cs="宋体"/>
          <w:b/>
          <w:bCs/>
          <w:color w:val="auto"/>
          <w:sz w:val="24"/>
          <w:highlight w:val="none"/>
        </w:rPr>
      </w:pPr>
    </w:p>
    <w:p>
      <w:pPr>
        <w:tabs>
          <w:tab w:val="left" w:pos="2625"/>
        </w:tabs>
        <w:spacing w:line="440" w:lineRule="exact"/>
        <w:jc w:val="left"/>
        <w:rPr>
          <w:rFonts w:ascii="宋体" w:hAnsi="宋体" w:cs="宋体"/>
          <w:b/>
          <w:color w:val="auto"/>
          <w:szCs w:val="21"/>
          <w:highlight w:val="none"/>
        </w:rPr>
      </w:pPr>
      <w:r>
        <w:rPr>
          <w:rFonts w:hint="eastAsia" w:ascii="宋体" w:hAnsi="宋体" w:cs="宋体"/>
          <w:b/>
          <w:color w:val="auto"/>
          <w:szCs w:val="21"/>
          <w:highlight w:val="none"/>
        </w:rPr>
        <w:br w:type="page"/>
      </w:r>
      <w:r>
        <w:rPr>
          <w:rFonts w:hint="eastAsia" w:ascii="宋体" w:hAnsi="宋体" w:cs="宋体"/>
          <w:b/>
          <w:color w:val="auto"/>
          <w:szCs w:val="21"/>
          <w:highlight w:val="none"/>
        </w:rPr>
        <w:t>一、磋商声明书格式</w:t>
      </w:r>
    </w:p>
    <w:p>
      <w:pPr>
        <w:spacing w:line="44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磋商声明书</w:t>
      </w:r>
    </w:p>
    <w:p>
      <w:pPr>
        <w:spacing w:line="440" w:lineRule="exact"/>
        <w:jc w:val="center"/>
        <w:rPr>
          <w:rFonts w:ascii="宋体" w:hAnsi="宋体" w:cs="宋体"/>
          <w:b/>
          <w:color w:val="auto"/>
          <w:sz w:val="32"/>
          <w:szCs w:val="32"/>
          <w:highlight w:val="none"/>
        </w:rPr>
      </w:pPr>
    </w:p>
    <w:p>
      <w:pPr>
        <w:pStyle w:val="23"/>
        <w:spacing w:line="440" w:lineRule="exact"/>
        <w:rPr>
          <w:rFonts w:hAnsi="宋体" w:cs="宋体"/>
          <w:color w:val="auto"/>
          <w:sz w:val="21"/>
          <w:highlight w:val="none"/>
        </w:rPr>
      </w:pPr>
      <w:r>
        <w:rPr>
          <w:rFonts w:hint="eastAsia" w:hAnsi="宋体" w:cs="宋体"/>
          <w:color w:val="auto"/>
          <w:sz w:val="21"/>
          <w:highlight w:val="none"/>
        </w:rPr>
        <w:t>致：（采购人单位名称）：</w:t>
      </w:r>
    </w:p>
    <w:p>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我方愿意参加贵方组织的</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项目的竞标，为便于贵方公正、择优地确定成交供应商及其竞标产品和服务，我方就本次竞标有关事项郑重声明如下：</w:t>
      </w:r>
    </w:p>
    <w:p>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1.我方向贵方提交的所有响应文件、资料都是准确的和真实的。</w:t>
      </w:r>
    </w:p>
    <w:p>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3.在此，我方宣布同意如下：</w:t>
      </w:r>
    </w:p>
    <w:p>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（1）将按磋商文件的约定履行合同责任和义务；</w:t>
      </w:r>
    </w:p>
    <w:p>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（2）已详细审查全部磋商文件，包括澄清或者更正公告（如有）；</w:t>
      </w:r>
    </w:p>
    <w:p>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（3）同意提供按照贵方可能要求的与谈判有关的一切数据或者资料；</w:t>
      </w:r>
    </w:p>
    <w:p>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（4）响应磋商文件规定的响应文件有效期。</w:t>
      </w:r>
    </w:p>
    <w:p>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4.我方承诺符合《中华人民共和国政府采购法》第二十二条规定：</w:t>
      </w:r>
    </w:p>
    <w:p>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（1）具有独立承担民事责任的能力；</w:t>
      </w:r>
    </w:p>
    <w:p>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（4）有依法缴纳税收和社会保障资金的良好记录；</w:t>
      </w:r>
    </w:p>
    <w:p>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（6）法律、行政法规规定的其他条件。</w:t>
      </w:r>
    </w:p>
    <w:p>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□我方本次响应文件内容中未涉及商业秘密；</w:t>
      </w:r>
    </w:p>
    <w:p>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□我方本次响应文件涉及商业秘密的内容有：</w:t>
      </w:r>
    </w:p>
    <w:p>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7.以上事项如有虚假或者隐瞒，我方愿意承担一切后果，并不再寻求任何旨在减轻或者免除法律责任的辩解。</w:t>
      </w:r>
    </w:p>
    <w:p>
      <w:pPr>
        <w:pStyle w:val="23"/>
        <w:spacing w:line="440" w:lineRule="exact"/>
        <w:jc w:val="center"/>
        <w:rPr>
          <w:rFonts w:hAnsi="宋体" w:cs="宋体"/>
          <w:color w:val="auto"/>
          <w:sz w:val="21"/>
          <w:highlight w:val="none"/>
        </w:rPr>
      </w:pPr>
      <w:r>
        <w:rPr>
          <w:rFonts w:hint="eastAsia" w:hAnsi="宋体" w:cs="宋体"/>
          <w:color w:val="auto"/>
          <w:sz w:val="21"/>
          <w:highlight w:val="none"/>
        </w:rPr>
        <w:t>供应商名称（电子签章）：</w:t>
      </w:r>
    </w:p>
    <w:p>
      <w:pPr>
        <w:snapToGrid w:val="0"/>
        <w:spacing w:before="50" w:after="50" w:line="440" w:lineRule="exact"/>
        <w:ind w:left="-6" w:leftChars="-3" w:right="-817" w:rightChars="-389" w:firstLine="6720" w:firstLineChars="3200"/>
        <w:rPr>
          <w:rFonts w:ascii="宋体" w:hAnsi="宋体" w:cs="宋体"/>
          <w:color w:val="auto"/>
          <w:szCs w:val="21"/>
          <w:highlight w:val="none"/>
        </w:rPr>
      </w:pPr>
      <w:r>
        <w:rPr>
          <w:rFonts w:hint="eastAsia" w:ascii="宋体" w:hAnsi="宋体" w:cs="宋体"/>
          <w:color w:val="auto"/>
          <w:szCs w:val="21"/>
          <w:highlight w:val="none"/>
        </w:rPr>
        <w:t>日期：    年   月   日</w:t>
      </w:r>
    </w:p>
    <w:p>
      <w:pPr>
        <w:spacing w:line="440" w:lineRule="exact"/>
        <w:ind w:firstLine="363" w:firstLineChars="202"/>
        <w:rPr>
          <w:rFonts w:ascii="宋体" w:hAnsi="宋体" w:cs="宋体"/>
          <w:color w:val="auto"/>
          <w:sz w:val="18"/>
          <w:szCs w:val="18"/>
          <w:highlight w:val="none"/>
        </w:rPr>
      </w:pPr>
      <w:r>
        <w:rPr>
          <w:rFonts w:hint="eastAsia" w:ascii="宋体" w:hAnsi="宋体" w:cs="宋体"/>
          <w:color w:val="auto"/>
          <w:sz w:val="18"/>
          <w:szCs w:val="18"/>
          <w:highlight w:val="none"/>
        </w:rPr>
        <w:t>说明：</w:t>
      </w:r>
    </w:p>
    <w:p>
      <w:pPr>
        <w:spacing w:line="440" w:lineRule="exact"/>
        <w:ind w:firstLine="363" w:firstLineChars="202"/>
        <w:rPr>
          <w:rFonts w:ascii="宋体" w:hAnsi="宋体" w:cs="宋体"/>
          <w:color w:val="auto"/>
          <w:sz w:val="18"/>
          <w:szCs w:val="18"/>
          <w:highlight w:val="none"/>
        </w:rPr>
      </w:pPr>
      <w:r>
        <w:rPr>
          <w:rFonts w:hint="eastAsia" w:ascii="宋体" w:hAnsi="宋体" w:cs="宋体"/>
          <w:color w:val="auto"/>
          <w:sz w:val="18"/>
          <w:szCs w:val="18"/>
          <w:highlight w:val="none"/>
        </w:rPr>
        <w:t>1.供应商可以自行通过“信用中国”（www.creditchina.gov.cn）和“中国政府采购网”网站（www.ccgp.gov.cn）查询供应商相关主体的信用记录。查询时间为本项目投标截止时间前10日至投标截止时间中任意一天。在资格审查阶段经采购人或采购代理机构查询，对列入失信被执行人、重大税收违法案件当事人名单、政府采购严重违法失信行为记录名单的供应商，将被拒绝参与本项目政府采购活动。</w:t>
      </w:r>
    </w:p>
    <w:p>
      <w:pPr>
        <w:spacing w:line="440" w:lineRule="exact"/>
        <w:ind w:firstLine="363" w:firstLineChars="202"/>
        <w:rPr>
          <w:rFonts w:ascii="宋体" w:hAnsi="宋体" w:cs="宋体"/>
          <w:color w:val="auto"/>
          <w:sz w:val="18"/>
          <w:szCs w:val="18"/>
          <w:highlight w:val="none"/>
        </w:rPr>
      </w:pPr>
      <w:r>
        <w:rPr>
          <w:rFonts w:hint="eastAsia" w:ascii="宋体" w:hAnsi="宋体" w:cs="宋体"/>
          <w:color w:val="auto"/>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440" w:lineRule="exact"/>
        <w:ind w:firstLine="363" w:firstLineChars="202"/>
        <w:rPr>
          <w:rFonts w:ascii="宋体" w:hAnsi="宋体" w:cs="宋体"/>
          <w:color w:val="auto"/>
          <w:sz w:val="18"/>
          <w:szCs w:val="18"/>
          <w:highlight w:val="none"/>
        </w:rPr>
      </w:pPr>
      <w:r>
        <w:rPr>
          <w:rFonts w:hint="eastAsia" w:ascii="宋体" w:hAnsi="宋体" w:cs="宋体"/>
          <w:color w:val="auto"/>
          <w:sz w:val="18"/>
          <w:szCs w:val="18"/>
          <w:highlight w:val="none"/>
        </w:rPr>
        <w:t>3.如为联合体投标，盖章处须加盖联合体各方公章，否则投标无效。</w:t>
      </w:r>
    </w:p>
    <w:p>
      <w:pPr>
        <w:rPr>
          <w:rFonts w:ascii="宋体" w:hAnsi="宋体" w:cs="宋体"/>
          <w:b/>
          <w:bCs/>
          <w:color w:val="auto"/>
          <w:sz w:val="24"/>
          <w:highlight w:val="none"/>
        </w:rPr>
      </w:pPr>
      <w:r>
        <w:rPr>
          <w:rFonts w:hint="eastAsia" w:ascii="宋体" w:hAnsi="宋体" w:cs="宋体"/>
          <w:b/>
          <w:bCs/>
          <w:color w:val="auto"/>
          <w:sz w:val="24"/>
          <w:highlight w:val="none"/>
        </w:rPr>
        <w:br w:type="page"/>
      </w:r>
    </w:p>
    <w:p>
      <w:pPr>
        <w:spacing w:line="440" w:lineRule="exact"/>
        <w:rPr>
          <w:rFonts w:ascii="宋体" w:hAnsi="宋体" w:cs="宋体"/>
          <w:b/>
          <w:bCs/>
          <w:color w:val="auto"/>
          <w:sz w:val="24"/>
          <w:highlight w:val="none"/>
        </w:rPr>
      </w:pPr>
      <w:r>
        <w:rPr>
          <w:rFonts w:hint="eastAsia" w:ascii="宋体" w:hAnsi="宋体" w:cs="宋体"/>
          <w:b/>
          <w:bCs/>
          <w:color w:val="auto"/>
          <w:sz w:val="24"/>
          <w:highlight w:val="none"/>
        </w:rPr>
        <w:t>二、政府采购供应商资格信用承诺函格式</w:t>
      </w:r>
    </w:p>
    <w:p>
      <w:pPr>
        <w:autoSpaceDE w:val="0"/>
        <w:autoSpaceDN w:val="0"/>
        <w:adjustRightInd w:val="0"/>
        <w:spacing w:line="440" w:lineRule="exact"/>
        <w:jc w:val="left"/>
        <w:rPr>
          <w:rFonts w:ascii="宋体" w:hAnsi="宋体" w:cs="宋体"/>
          <w:b/>
          <w:bCs/>
          <w:color w:val="auto"/>
          <w:szCs w:val="21"/>
          <w:highlight w:val="none"/>
        </w:rPr>
      </w:pPr>
    </w:p>
    <w:p>
      <w:pPr>
        <w:autoSpaceDE w:val="0"/>
        <w:autoSpaceDN w:val="0"/>
        <w:adjustRightInd w:val="0"/>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政府采购供应商资格信用承诺函</w:t>
      </w:r>
    </w:p>
    <w:p>
      <w:pPr>
        <w:pStyle w:val="32"/>
        <w:spacing w:line="440" w:lineRule="exact"/>
        <w:rPr>
          <w:rFonts w:ascii="宋体" w:hAnsi="宋体" w:cs="宋体"/>
          <w:color w:val="auto"/>
          <w:sz w:val="21"/>
          <w:szCs w:val="21"/>
          <w:highlight w:val="none"/>
        </w:rPr>
      </w:pPr>
    </w:p>
    <w:p>
      <w:pPr>
        <w:autoSpaceDE w:val="0"/>
        <w:autoSpaceDN w:val="0"/>
        <w:adjustRightInd w:val="0"/>
        <w:spacing w:line="440" w:lineRule="exact"/>
        <w:rPr>
          <w:rFonts w:ascii="宋体" w:hAnsi="宋体" w:cs="宋体"/>
          <w:color w:val="auto"/>
          <w:spacing w:val="6"/>
          <w:szCs w:val="21"/>
          <w:highlight w:val="none"/>
        </w:rPr>
      </w:pPr>
      <w:r>
        <w:rPr>
          <w:rFonts w:hint="eastAsia" w:ascii="宋体" w:hAnsi="宋体" w:cs="宋体"/>
          <w:color w:val="auto"/>
          <w:spacing w:val="6"/>
          <w:szCs w:val="21"/>
          <w:highlight w:val="none"/>
        </w:rPr>
        <w:t>致：</w:t>
      </w:r>
      <w:r>
        <w:rPr>
          <w:rFonts w:hint="eastAsia" w:ascii="宋体" w:hAnsi="宋体" w:cs="宋体"/>
          <w:color w:val="auto"/>
          <w:spacing w:val="6"/>
          <w:szCs w:val="21"/>
          <w:highlight w:val="none"/>
          <w:u w:val="single"/>
        </w:rPr>
        <w:t>（采购人名称）、（代理机构名称）</w:t>
      </w:r>
      <w:r>
        <w:rPr>
          <w:rFonts w:hint="eastAsia" w:ascii="宋体" w:hAnsi="宋体" w:cs="宋体"/>
          <w:color w:val="auto"/>
          <w:spacing w:val="6"/>
          <w:szCs w:val="21"/>
          <w:highlight w:val="none"/>
        </w:rPr>
        <w:t>：</w:t>
      </w:r>
    </w:p>
    <w:p>
      <w:pPr>
        <w:autoSpaceDE w:val="0"/>
        <w:autoSpaceDN w:val="0"/>
        <w:adjustRightInd w:val="0"/>
        <w:spacing w:line="440" w:lineRule="exact"/>
        <w:ind w:firstLine="640"/>
        <w:rPr>
          <w:rFonts w:ascii="宋体" w:hAnsi="宋体" w:cs="宋体"/>
          <w:color w:val="auto"/>
          <w:spacing w:val="6"/>
          <w:szCs w:val="21"/>
          <w:highlight w:val="none"/>
        </w:rPr>
      </w:pPr>
      <w:r>
        <w:rPr>
          <w:rFonts w:hint="eastAsia" w:ascii="宋体" w:hAnsi="宋体" w:cs="宋体"/>
          <w:color w:val="auto"/>
          <w:spacing w:val="6"/>
          <w:szCs w:val="21"/>
          <w:highlight w:val="none"/>
        </w:rPr>
        <w:t xml:space="preserve">我方自愿参加项目（项目编号：）的政府采购活动，并郑重承诺我方符合《中华人民共和国政府采购法》第二十二条规定的条件： </w:t>
      </w:r>
    </w:p>
    <w:p>
      <w:pPr>
        <w:autoSpaceDE w:val="0"/>
        <w:autoSpaceDN w:val="0"/>
        <w:adjustRightInd w:val="0"/>
        <w:spacing w:line="440" w:lineRule="exact"/>
        <w:ind w:firstLine="640"/>
        <w:rPr>
          <w:rFonts w:ascii="宋体" w:hAnsi="宋体" w:cs="宋体"/>
          <w:color w:val="auto"/>
          <w:spacing w:val="6"/>
          <w:szCs w:val="21"/>
          <w:highlight w:val="none"/>
        </w:rPr>
      </w:pPr>
      <w:r>
        <w:rPr>
          <w:rFonts w:hint="eastAsia" w:ascii="宋体" w:hAnsi="宋体" w:cs="宋体"/>
          <w:color w:val="auto"/>
          <w:spacing w:val="6"/>
          <w:szCs w:val="21"/>
          <w:highlight w:val="none"/>
        </w:rPr>
        <w:t xml:space="preserve">（一）具有独立承担民事责任的能力； </w:t>
      </w:r>
    </w:p>
    <w:p>
      <w:pPr>
        <w:autoSpaceDE w:val="0"/>
        <w:autoSpaceDN w:val="0"/>
        <w:adjustRightInd w:val="0"/>
        <w:spacing w:line="440" w:lineRule="exact"/>
        <w:ind w:firstLine="640"/>
        <w:rPr>
          <w:rFonts w:ascii="宋体" w:hAnsi="宋体" w:cs="宋体"/>
          <w:color w:val="auto"/>
          <w:spacing w:val="6"/>
          <w:szCs w:val="21"/>
          <w:highlight w:val="none"/>
        </w:rPr>
      </w:pPr>
      <w:r>
        <w:rPr>
          <w:rFonts w:hint="eastAsia" w:ascii="宋体" w:hAnsi="宋体" w:cs="宋体"/>
          <w:color w:val="auto"/>
          <w:spacing w:val="6"/>
          <w:szCs w:val="21"/>
          <w:highlight w:val="none"/>
        </w:rPr>
        <w:t xml:space="preserve">（二）具有良好的商业信誉和健全的财务会计制度； </w:t>
      </w:r>
    </w:p>
    <w:p>
      <w:pPr>
        <w:autoSpaceDE w:val="0"/>
        <w:autoSpaceDN w:val="0"/>
        <w:adjustRightInd w:val="0"/>
        <w:spacing w:line="440" w:lineRule="exact"/>
        <w:ind w:firstLine="640"/>
        <w:rPr>
          <w:rFonts w:ascii="宋体" w:hAnsi="宋体" w:cs="宋体"/>
          <w:color w:val="auto"/>
          <w:spacing w:val="6"/>
          <w:szCs w:val="21"/>
          <w:highlight w:val="none"/>
        </w:rPr>
      </w:pPr>
      <w:r>
        <w:rPr>
          <w:rFonts w:hint="eastAsia" w:ascii="宋体" w:hAnsi="宋体" w:cs="宋体"/>
          <w:color w:val="auto"/>
          <w:spacing w:val="6"/>
          <w:szCs w:val="21"/>
          <w:highlight w:val="none"/>
        </w:rPr>
        <w:t xml:space="preserve">（三）具有履行合同所必需的设备和专业技术能力； </w:t>
      </w:r>
    </w:p>
    <w:p>
      <w:pPr>
        <w:autoSpaceDE w:val="0"/>
        <w:autoSpaceDN w:val="0"/>
        <w:adjustRightInd w:val="0"/>
        <w:spacing w:line="440" w:lineRule="exact"/>
        <w:ind w:firstLine="640"/>
        <w:rPr>
          <w:rFonts w:ascii="宋体" w:hAnsi="宋体" w:cs="宋体"/>
          <w:color w:val="auto"/>
          <w:spacing w:val="6"/>
          <w:szCs w:val="21"/>
          <w:highlight w:val="none"/>
        </w:rPr>
      </w:pPr>
      <w:r>
        <w:rPr>
          <w:rFonts w:hint="eastAsia" w:ascii="宋体" w:hAnsi="宋体" w:cs="宋体"/>
          <w:color w:val="auto"/>
          <w:spacing w:val="6"/>
          <w:szCs w:val="21"/>
          <w:highlight w:val="none"/>
        </w:rPr>
        <w:t xml:space="preserve">（四）有依法缴纳税收和社会保障资金的良好记录； </w:t>
      </w:r>
    </w:p>
    <w:p>
      <w:pPr>
        <w:autoSpaceDE w:val="0"/>
        <w:autoSpaceDN w:val="0"/>
        <w:adjustRightInd w:val="0"/>
        <w:spacing w:line="440" w:lineRule="exact"/>
        <w:ind w:firstLine="640"/>
        <w:rPr>
          <w:rFonts w:ascii="宋体" w:hAnsi="宋体" w:cs="宋体"/>
          <w:color w:val="auto"/>
          <w:spacing w:val="6"/>
          <w:szCs w:val="21"/>
          <w:highlight w:val="none"/>
        </w:rPr>
      </w:pPr>
      <w:r>
        <w:rPr>
          <w:rFonts w:hint="eastAsia" w:ascii="宋体" w:hAnsi="宋体" w:cs="宋体"/>
          <w:color w:val="auto"/>
          <w:spacing w:val="6"/>
          <w:szCs w:val="21"/>
          <w:highlight w:val="none"/>
        </w:rPr>
        <w:t xml:space="preserve">（五）参加政府采购活动前三年内，在经营活动中没有重大违法记录； </w:t>
      </w:r>
    </w:p>
    <w:p>
      <w:pPr>
        <w:autoSpaceDE w:val="0"/>
        <w:autoSpaceDN w:val="0"/>
        <w:adjustRightInd w:val="0"/>
        <w:spacing w:line="440" w:lineRule="exact"/>
        <w:ind w:firstLine="640"/>
        <w:rPr>
          <w:rFonts w:ascii="宋体" w:hAnsi="宋体" w:cs="宋体"/>
          <w:color w:val="auto"/>
          <w:spacing w:val="6"/>
          <w:szCs w:val="21"/>
          <w:highlight w:val="none"/>
        </w:rPr>
      </w:pPr>
      <w:r>
        <w:rPr>
          <w:rFonts w:hint="eastAsia" w:ascii="宋体" w:hAnsi="宋体" w:cs="宋体"/>
          <w:color w:val="auto"/>
          <w:spacing w:val="6"/>
          <w:szCs w:val="21"/>
          <w:highlight w:val="none"/>
        </w:rPr>
        <w:t xml:space="preserve">（六）法律、行政法规规定的其他条件。 </w:t>
      </w:r>
    </w:p>
    <w:p>
      <w:pPr>
        <w:autoSpaceDE w:val="0"/>
        <w:autoSpaceDN w:val="0"/>
        <w:adjustRightInd w:val="0"/>
        <w:spacing w:line="440" w:lineRule="exact"/>
        <w:ind w:firstLine="640"/>
        <w:rPr>
          <w:rFonts w:ascii="宋体" w:hAnsi="宋体" w:cs="宋体"/>
          <w:color w:val="auto"/>
          <w:spacing w:val="6"/>
          <w:szCs w:val="21"/>
          <w:highlight w:val="none"/>
        </w:rPr>
      </w:pPr>
      <w:r>
        <w:rPr>
          <w:rFonts w:hint="eastAsia" w:ascii="宋体" w:hAnsi="宋体" w:cs="宋体"/>
          <w:color w:val="auto"/>
          <w:spacing w:val="6"/>
          <w:szCs w:val="21"/>
          <w:highlight w:val="none"/>
        </w:rPr>
        <w:t xml:space="preserve">我方保证上述承诺事项的真实性，如有弄虚作假或其他违法违规行为，愿意承担一切法律责任，并承担因此所造成的一切损失。 </w:t>
      </w:r>
    </w:p>
    <w:p>
      <w:pPr>
        <w:autoSpaceDE w:val="0"/>
        <w:autoSpaceDN w:val="0"/>
        <w:adjustRightInd w:val="0"/>
        <w:spacing w:line="440" w:lineRule="exact"/>
        <w:ind w:firstLine="640"/>
        <w:rPr>
          <w:rFonts w:ascii="宋体" w:hAnsi="宋体" w:cs="宋体"/>
          <w:color w:val="auto"/>
          <w:spacing w:val="6"/>
          <w:szCs w:val="21"/>
          <w:highlight w:val="none"/>
        </w:rPr>
      </w:pPr>
      <w:r>
        <w:rPr>
          <w:rFonts w:hint="eastAsia" w:ascii="宋体" w:hAnsi="宋体" w:cs="宋体"/>
          <w:b/>
          <w:bCs/>
          <w:color w:val="auto"/>
          <w:spacing w:val="6"/>
          <w:szCs w:val="21"/>
          <w:highlight w:val="none"/>
        </w:rPr>
        <w:t>特此声明！</w:t>
      </w:r>
    </w:p>
    <w:p>
      <w:pPr>
        <w:pStyle w:val="40"/>
        <w:spacing w:line="440" w:lineRule="exact"/>
        <w:ind w:firstLine="444"/>
        <w:rPr>
          <w:rFonts w:ascii="宋体" w:hAnsi="宋体" w:cs="宋体"/>
          <w:color w:val="auto"/>
          <w:spacing w:val="6"/>
          <w:szCs w:val="21"/>
          <w:highlight w:val="none"/>
        </w:rPr>
      </w:pPr>
    </w:p>
    <w:p>
      <w:pPr>
        <w:spacing w:line="440" w:lineRule="exact"/>
        <w:rPr>
          <w:rFonts w:ascii="宋体" w:hAnsi="宋体" w:cs="宋体"/>
          <w:color w:val="auto"/>
          <w:szCs w:val="21"/>
          <w:highlight w:val="none"/>
        </w:rPr>
      </w:pPr>
    </w:p>
    <w:p>
      <w:pPr>
        <w:spacing w:line="440" w:lineRule="exact"/>
        <w:jc w:val="center"/>
        <w:rPr>
          <w:rFonts w:ascii="宋体" w:hAnsi="宋体" w:cs="宋体"/>
          <w:color w:val="auto"/>
          <w:szCs w:val="21"/>
          <w:highlight w:val="none"/>
          <w:u w:val="single"/>
        </w:rPr>
      </w:pPr>
      <w:r>
        <w:rPr>
          <w:rFonts w:hint="eastAsia" w:ascii="宋体" w:hAnsi="宋体" w:cs="宋体"/>
          <w:color w:val="auto"/>
          <w:szCs w:val="21"/>
          <w:highlight w:val="none"/>
        </w:rPr>
        <w:t xml:space="preserve">           法定代表人或委托代理人</w:t>
      </w:r>
      <w:r>
        <w:rPr>
          <w:rFonts w:hint="eastAsia" w:ascii="宋体" w:hAnsi="宋体" w:cs="宋体"/>
          <w:b/>
          <w:bCs/>
          <w:color w:val="auto"/>
          <w:szCs w:val="21"/>
          <w:highlight w:val="none"/>
        </w:rPr>
        <w:t>（签字）：</w:t>
      </w:r>
    </w:p>
    <w:p>
      <w:pPr>
        <w:spacing w:line="440" w:lineRule="exact"/>
        <w:jc w:val="center"/>
        <w:rPr>
          <w:rFonts w:ascii="宋体" w:hAnsi="宋体" w:cs="宋体"/>
          <w:color w:val="auto"/>
          <w:szCs w:val="21"/>
          <w:highlight w:val="none"/>
          <w:u w:val="single"/>
        </w:rPr>
      </w:pPr>
    </w:p>
    <w:p>
      <w:pPr>
        <w:pStyle w:val="23"/>
        <w:spacing w:line="440" w:lineRule="exact"/>
        <w:ind w:firstLine="3570" w:firstLineChars="1700"/>
        <w:rPr>
          <w:rFonts w:hAnsi="宋体" w:cs="宋体"/>
          <w:color w:val="auto"/>
          <w:sz w:val="21"/>
          <w:highlight w:val="none"/>
        </w:rPr>
      </w:pPr>
      <w:r>
        <w:rPr>
          <w:rFonts w:hint="eastAsia" w:hAnsi="宋体" w:cs="宋体"/>
          <w:color w:val="auto"/>
          <w:sz w:val="21"/>
          <w:highlight w:val="none"/>
        </w:rPr>
        <w:t>政府采购供应商</w:t>
      </w:r>
      <w:r>
        <w:rPr>
          <w:rFonts w:hint="eastAsia" w:hAnsi="宋体" w:cs="宋体"/>
          <w:b/>
          <w:bCs/>
          <w:color w:val="auto"/>
          <w:sz w:val="21"/>
          <w:highlight w:val="none"/>
        </w:rPr>
        <w:t>（CA电子签章）</w:t>
      </w:r>
      <w:r>
        <w:rPr>
          <w:rFonts w:hint="eastAsia" w:hAnsi="宋体" w:cs="宋体"/>
          <w:color w:val="auto"/>
          <w:sz w:val="21"/>
          <w:highlight w:val="none"/>
        </w:rPr>
        <w:t>：</w:t>
      </w:r>
    </w:p>
    <w:p>
      <w:pPr>
        <w:pStyle w:val="23"/>
        <w:spacing w:line="440" w:lineRule="exact"/>
        <w:rPr>
          <w:rFonts w:hAnsi="宋体" w:cs="宋体"/>
          <w:color w:val="auto"/>
          <w:sz w:val="21"/>
          <w:highlight w:val="none"/>
        </w:rPr>
      </w:pPr>
    </w:p>
    <w:p>
      <w:pPr>
        <w:pStyle w:val="23"/>
        <w:spacing w:line="440" w:lineRule="exact"/>
        <w:jc w:val="right"/>
        <w:rPr>
          <w:rFonts w:hAnsi="宋体" w:cs="宋体"/>
          <w:color w:val="auto"/>
          <w:sz w:val="21"/>
          <w:highlight w:val="none"/>
        </w:rPr>
      </w:pPr>
      <w:r>
        <w:rPr>
          <w:rFonts w:hint="eastAsia" w:hAnsi="宋体" w:cs="宋体"/>
          <w:color w:val="auto"/>
          <w:sz w:val="21"/>
          <w:highlight w:val="none"/>
        </w:rPr>
        <w:t>日期：       年   月   日</w:t>
      </w:r>
    </w:p>
    <w:p>
      <w:pPr>
        <w:pStyle w:val="23"/>
        <w:spacing w:line="440" w:lineRule="exact"/>
        <w:rPr>
          <w:rFonts w:hAnsi="宋体" w:cs="宋体"/>
          <w:b/>
          <w:color w:val="auto"/>
          <w:sz w:val="21"/>
          <w:highlight w:val="none"/>
        </w:rPr>
      </w:pPr>
    </w:p>
    <w:p>
      <w:pPr>
        <w:pStyle w:val="23"/>
        <w:spacing w:line="440" w:lineRule="exact"/>
        <w:rPr>
          <w:rFonts w:hAnsi="宋体" w:cs="宋体"/>
          <w:b/>
          <w:color w:val="auto"/>
          <w:sz w:val="21"/>
          <w:highlight w:val="none"/>
        </w:rPr>
      </w:pPr>
    </w:p>
    <w:p>
      <w:pPr>
        <w:pStyle w:val="23"/>
        <w:spacing w:line="440" w:lineRule="exact"/>
        <w:rPr>
          <w:rFonts w:hAnsi="宋体" w:cs="宋体"/>
          <w:b/>
          <w:color w:val="auto"/>
          <w:sz w:val="21"/>
          <w:highlight w:val="none"/>
        </w:rPr>
      </w:pPr>
    </w:p>
    <w:p>
      <w:pPr>
        <w:pStyle w:val="23"/>
        <w:spacing w:line="440" w:lineRule="exact"/>
        <w:rPr>
          <w:rFonts w:hAnsi="宋体" w:cs="宋体"/>
          <w:b/>
          <w:color w:val="auto"/>
          <w:sz w:val="21"/>
          <w:highlight w:val="none"/>
        </w:rPr>
      </w:pPr>
    </w:p>
    <w:p>
      <w:pPr>
        <w:pStyle w:val="23"/>
        <w:spacing w:line="440" w:lineRule="exact"/>
        <w:rPr>
          <w:rFonts w:hAnsi="宋体" w:cs="宋体"/>
          <w:b/>
          <w:color w:val="auto"/>
          <w:sz w:val="21"/>
          <w:highlight w:val="none"/>
        </w:rPr>
      </w:pPr>
    </w:p>
    <w:p>
      <w:pPr>
        <w:pStyle w:val="23"/>
        <w:spacing w:line="440" w:lineRule="exact"/>
        <w:rPr>
          <w:rFonts w:hAnsi="宋体" w:cs="宋体"/>
          <w:b/>
          <w:color w:val="auto"/>
          <w:sz w:val="21"/>
          <w:highlight w:val="none"/>
        </w:rPr>
      </w:pPr>
    </w:p>
    <w:p>
      <w:pPr>
        <w:pStyle w:val="23"/>
        <w:spacing w:line="440" w:lineRule="exact"/>
        <w:rPr>
          <w:rFonts w:hAnsi="宋体" w:cs="宋体"/>
          <w:b/>
          <w:color w:val="auto"/>
          <w:sz w:val="21"/>
          <w:highlight w:val="none"/>
        </w:rPr>
      </w:pPr>
    </w:p>
    <w:p>
      <w:pPr>
        <w:snapToGrid w:val="0"/>
        <w:spacing w:before="120" w:beforeLines="50" w:after="50" w:line="440" w:lineRule="exact"/>
        <w:rPr>
          <w:rFonts w:ascii="宋体" w:hAnsi="宋体" w:cs="宋体"/>
          <w:b/>
          <w:color w:val="auto"/>
          <w:highlight w:val="none"/>
        </w:rPr>
      </w:pPr>
    </w:p>
    <w:p>
      <w:pPr>
        <w:snapToGrid w:val="0"/>
        <w:spacing w:before="120" w:beforeLines="50" w:after="50" w:line="440" w:lineRule="exact"/>
        <w:rPr>
          <w:rFonts w:ascii="宋体" w:hAnsi="宋体" w:cs="宋体"/>
          <w:b/>
          <w:bCs/>
          <w:color w:val="auto"/>
          <w:sz w:val="24"/>
          <w:highlight w:val="none"/>
        </w:rPr>
      </w:pPr>
      <w:r>
        <w:rPr>
          <w:rFonts w:hint="eastAsia" w:ascii="宋体" w:hAnsi="宋体" w:cs="宋体"/>
          <w:b/>
          <w:color w:val="auto"/>
          <w:highlight w:val="none"/>
        </w:rPr>
        <w:t>三、供应商直接控股、管理关系信息表格式</w:t>
      </w:r>
    </w:p>
    <w:p>
      <w:pPr>
        <w:snapToGrid w:val="0"/>
        <w:spacing w:before="50" w:after="120" w:afterLines="50" w:line="440" w:lineRule="exact"/>
        <w:jc w:val="center"/>
        <w:rPr>
          <w:rFonts w:ascii="宋体" w:hAnsi="宋体" w:cs="宋体"/>
          <w:b/>
          <w:color w:val="auto"/>
          <w:sz w:val="24"/>
          <w:highlight w:val="none"/>
        </w:rPr>
      </w:pPr>
      <w:r>
        <w:rPr>
          <w:rFonts w:hint="eastAsia" w:ascii="宋体" w:hAnsi="宋体" w:cs="宋体"/>
          <w:b/>
          <w:color w:val="auto"/>
          <w:sz w:val="24"/>
          <w:highlight w:val="none"/>
        </w:rPr>
        <w:t>供应商直接控股股东信息表</w:t>
      </w:r>
    </w:p>
    <w:tbl>
      <w:tblPr>
        <w:tblStyle w:val="41"/>
        <w:tblW w:w="9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8"/>
        <w:gridCol w:w="2269"/>
        <w:gridCol w:w="1239"/>
        <w:gridCol w:w="372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828"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269"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直接控股股东名称</w:t>
            </w:r>
          </w:p>
        </w:tc>
        <w:tc>
          <w:tcPr>
            <w:tcW w:w="1239"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出资比例</w:t>
            </w:r>
          </w:p>
        </w:tc>
        <w:tc>
          <w:tcPr>
            <w:tcW w:w="3722"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身份证号码或统一社会信用代码</w:t>
            </w:r>
          </w:p>
        </w:tc>
        <w:tc>
          <w:tcPr>
            <w:tcW w:w="1418"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pPr>
              <w:widowControl/>
              <w:wordWrap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2269" w:type="dxa"/>
            <w:tcMar>
              <w:top w:w="120" w:type="dxa"/>
              <w:left w:w="120" w:type="dxa"/>
              <w:bottom w:w="120" w:type="dxa"/>
              <w:right w:w="120" w:type="dxa"/>
            </w:tcMar>
            <w:vAlign w:val="center"/>
          </w:tcPr>
          <w:p>
            <w:pPr>
              <w:widowControl/>
              <w:wordWrap w:val="0"/>
              <w:spacing w:line="440" w:lineRule="exact"/>
              <w:jc w:val="center"/>
              <w:rPr>
                <w:rFonts w:ascii="宋体" w:hAnsi="宋体" w:cs="宋体"/>
                <w:color w:val="auto"/>
                <w:szCs w:val="21"/>
                <w:highlight w:val="none"/>
              </w:rPr>
            </w:pPr>
          </w:p>
        </w:tc>
        <w:tc>
          <w:tcPr>
            <w:tcW w:w="1239" w:type="dxa"/>
            <w:tcMar>
              <w:top w:w="120" w:type="dxa"/>
              <w:left w:w="120" w:type="dxa"/>
              <w:bottom w:w="120" w:type="dxa"/>
              <w:right w:w="120" w:type="dxa"/>
            </w:tcMar>
            <w:vAlign w:val="center"/>
          </w:tcPr>
          <w:p>
            <w:pPr>
              <w:widowControl/>
              <w:wordWrap w:val="0"/>
              <w:spacing w:line="440" w:lineRule="exact"/>
              <w:jc w:val="center"/>
              <w:rPr>
                <w:rFonts w:ascii="宋体" w:hAnsi="宋体" w:cs="宋体"/>
                <w:color w:val="auto"/>
                <w:szCs w:val="21"/>
                <w:highlight w:val="none"/>
              </w:rPr>
            </w:pPr>
          </w:p>
        </w:tc>
        <w:tc>
          <w:tcPr>
            <w:tcW w:w="3722" w:type="dxa"/>
            <w:tcMar>
              <w:top w:w="120" w:type="dxa"/>
              <w:left w:w="120" w:type="dxa"/>
              <w:bottom w:w="120" w:type="dxa"/>
              <w:right w:w="120" w:type="dxa"/>
            </w:tcMar>
            <w:vAlign w:val="center"/>
          </w:tcPr>
          <w:p>
            <w:pPr>
              <w:widowControl/>
              <w:wordWrap w:val="0"/>
              <w:spacing w:line="440" w:lineRule="exact"/>
              <w:jc w:val="center"/>
              <w:rPr>
                <w:rFonts w:ascii="宋体" w:hAnsi="宋体" w:cs="宋体"/>
                <w:color w:val="auto"/>
                <w:szCs w:val="21"/>
                <w:highlight w:val="none"/>
              </w:rPr>
            </w:pPr>
          </w:p>
        </w:tc>
        <w:tc>
          <w:tcPr>
            <w:tcW w:w="1418" w:type="dxa"/>
            <w:tcMar>
              <w:top w:w="120" w:type="dxa"/>
              <w:left w:w="120" w:type="dxa"/>
              <w:bottom w:w="120" w:type="dxa"/>
              <w:right w:w="120" w:type="dxa"/>
            </w:tcMar>
            <w:vAlign w:val="center"/>
          </w:tcPr>
          <w:p>
            <w:pPr>
              <w:widowControl/>
              <w:wordWrap w:val="0"/>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pPr>
              <w:widowControl/>
              <w:wordWrap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2269" w:type="dxa"/>
            <w:tcMar>
              <w:top w:w="120" w:type="dxa"/>
              <w:left w:w="120" w:type="dxa"/>
              <w:bottom w:w="120" w:type="dxa"/>
              <w:right w:w="120" w:type="dxa"/>
            </w:tcMar>
            <w:vAlign w:val="center"/>
          </w:tcPr>
          <w:p>
            <w:pPr>
              <w:widowControl/>
              <w:wordWrap w:val="0"/>
              <w:spacing w:line="440" w:lineRule="exact"/>
              <w:jc w:val="center"/>
              <w:rPr>
                <w:rFonts w:ascii="宋体" w:hAnsi="宋体" w:cs="宋体"/>
                <w:color w:val="auto"/>
                <w:szCs w:val="21"/>
                <w:highlight w:val="none"/>
              </w:rPr>
            </w:pPr>
          </w:p>
        </w:tc>
        <w:tc>
          <w:tcPr>
            <w:tcW w:w="1239" w:type="dxa"/>
            <w:tcMar>
              <w:top w:w="120" w:type="dxa"/>
              <w:left w:w="120" w:type="dxa"/>
              <w:bottom w:w="120" w:type="dxa"/>
              <w:right w:w="120" w:type="dxa"/>
            </w:tcMar>
            <w:vAlign w:val="center"/>
          </w:tcPr>
          <w:p>
            <w:pPr>
              <w:widowControl/>
              <w:wordWrap w:val="0"/>
              <w:spacing w:line="440" w:lineRule="exact"/>
              <w:jc w:val="center"/>
              <w:rPr>
                <w:rFonts w:ascii="宋体" w:hAnsi="宋体" w:cs="宋体"/>
                <w:color w:val="auto"/>
                <w:szCs w:val="21"/>
                <w:highlight w:val="none"/>
              </w:rPr>
            </w:pPr>
          </w:p>
        </w:tc>
        <w:tc>
          <w:tcPr>
            <w:tcW w:w="3722" w:type="dxa"/>
            <w:tcMar>
              <w:top w:w="120" w:type="dxa"/>
              <w:left w:w="120" w:type="dxa"/>
              <w:bottom w:w="120" w:type="dxa"/>
              <w:right w:w="120" w:type="dxa"/>
            </w:tcMar>
            <w:vAlign w:val="center"/>
          </w:tcPr>
          <w:p>
            <w:pPr>
              <w:widowControl/>
              <w:wordWrap w:val="0"/>
              <w:spacing w:line="440" w:lineRule="exact"/>
              <w:jc w:val="center"/>
              <w:rPr>
                <w:rFonts w:ascii="宋体" w:hAnsi="宋体" w:cs="宋体"/>
                <w:color w:val="auto"/>
                <w:szCs w:val="21"/>
                <w:highlight w:val="none"/>
              </w:rPr>
            </w:pPr>
          </w:p>
        </w:tc>
        <w:tc>
          <w:tcPr>
            <w:tcW w:w="1418" w:type="dxa"/>
            <w:tcMar>
              <w:top w:w="120" w:type="dxa"/>
              <w:left w:w="120" w:type="dxa"/>
              <w:bottom w:w="120" w:type="dxa"/>
              <w:right w:w="120" w:type="dxa"/>
            </w:tcMar>
            <w:vAlign w:val="center"/>
          </w:tcPr>
          <w:p>
            <w:pPr>
              <w:widowControl/>
              <w:wordWrap w:val="0"/>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pPr>
              <w:widowControl/>
              <w:wordWrap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2269" w:type="dxa"/>
            <w:tcMar>
              <w:top w:w="120" w:type="dxa"/>
              <w:left w:w="120" w:type="dxa"/>
              <w:bottom w:w="120" w:type="dxa"/>
              <w:right w:w="120" w:type="dxa"/>
            </w:tcMar>
            <w:vAlign w:val="center"/>
          </w:tcPr>
          <w:p>
            <w:pPr>
              <w:widowControl/>
              <w:wordWrap w:val="0"/>
              <w:spacing w:line="440" w:lineRule="exact"/>
              <w:jc w:val="center"/>
              <w:rPr>
                <w:rFonts w:ascii="宋体" w:hAnsi="宋体" w:cs="宋体"/>
                <w:color w:val="auto"/>
                <w:szCs w:val="21"/>
                <w:highlight w:val="none"/>
              </w:rPr>
            </w:pPr>
          </w:p>
        </w:tc>
        <w:tc>
          <w:tcPr>
            <w:tcW w:w="1239" w:type="dxa"/>
            <w:tcMar>
              <w:top w:w="120" w:type="dxa"/>
              <w:left w:w="120" w:type="dxa"/>
              <w:bottom w:w="120" w:type="dxa"/>
              <w:right w:w="120" w:type="dxa"/>
            </w:tcMar>
            <w:vAlign w:val="center"/>
          </w:tcPr>
          <w:p>
            <w:pPr>
              <w:widowControl/>
              <w:wordWrap w:val="0"/>
              <w:spacing w:line="440" w:lineRule="exact"/>
              <w:jc w:val="center"/>
              <w:rPr>
                <w:rFonts w:ascii="宋体" w:hAnsi="宋体" w:cs="宋体"/>
                <w:color w:val="auto"/>
                <w:szCs w:val="21"/>
                <w:highlight w:val="none"/>
              </w:rPr>
            </w:pPr>
          </w:p>
        </w:tc>
        <w:tc>
          <w:tcPr>
            <w:tcW w:w="3722" w:type="dxa"/>
            <w:tcMar>
              <w:top w:w="120" w:type="dxa"/>
              <w:left w:w="120" w:type="dxa"/>
              <w:bottom w:w="120" w:type="dxa"/>
              <w:right w:w="120" w:type="dxa"/>
            </w:tcMar>
            <w:vAlign w:val="center"/>
          </w:tcPr>
          <w:p>
            <w:pPr>
              <w:widowControl/>
              <w:wordWrap w:val="0"/>
              <w:spacing w:line="440" w:lineRule="exact"/>
              <w:jc w:val="center"/>
              <w:rPr>
                <w:rFonts w:ascii="宋体" w:hAnsi="宋体" w:cs="宋体"/>
                <w:color w:val="auto"/>
                <w:szCs w:val="21"/>
                <w:highlight w:val="none"/>
              </w:rPr>
            </w:pPr>
          </w:p>
        </w:tc>
        <w:tc>
          <w:tcPr>
            <w:tcW w:w="1418" w:type="dxa"/>
            <w:tcMar>
              <w:top w:w="120" w:type="dxa"/>
              <w:left w:w="120" w:type="dxa"/>
              <w:bottom w:w="120" w:type="dxa"/>
              <w:right w:w="120" w:type="dxa"/>
            </w:tcMar>
            <w:vAlign w:val="center"/>
          </w:tcPr>
          <w:p>
            <w:pPr>
              <w:widowControl/>
              <w:wordWrap w:val="0"/>
              <w:spacing w:line="440" w:lineRule="exact"/>
              <w:jc w:val="center"/>
              <w:rPr>
                <w:rFonts w:ascii="宋体" w:hAnsi="宋体" w:cs="宋体"/>
                <w:color w:val="auto"/>
                <w:szCs w:val="21"/>
                <w:highlight w:val="none"/>
              </w:rPr>
            </w:pPr>
          </w:p>
        </w:tc>
      </w:tr>
    </w:tbl>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注：</w:t>
      </w:r>
    </w:p>
    <w:p>
      <w:pPr>
        <w:snapToGrid w:val="0"/>
        <w:spacing w:line="44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napToGrid w:val="0"/>
        <w:spacing w:line="44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2.本表所指的控股关系仅限于直接控股关系，不包括间接的控股关系。公司实际控制人与公司之间的关系不属于本表所指的直接控股关系。</w:t>
      </w:r>
    </w:p>
    <w:p>
      <w:pPr>
        <w:snapToGrid w:val="0"/>
        <w:spacing w:before="50" w:after="120" w:afterLines="50" w:line="440" w:lineRule="exact"/>
        <w:jc w:val="center"/>
        <w:rPr>
          <w:rFonts w:ascii="宋体" w:hAnsi="宋体" w:cs="宋体"/>
          <w:color w:val="auto"/>
          <w:szCs w:val="21"/>
          <w:highlight w:val="none"/>
        </w:rPr>
      </w:pPr>
    </w:p>
    <w:p>
      <w:pPr>
        <w:snapToGrid w:val="0"/>
        <w:spacing w:before="50" w:after="120" w:afterLines="50" w:line="440" w:lineRule="exact"/>
        <w:jc w:val="center"/>
        <w:rPr>
          <w:rFonts w:ascii="宋体" w:hAnsi="宋体" w:cs="宋体"/>
          <w:color w:val="auto"/>
          <w:szCs w:val="21"/>
          <w:highlight w:val="none"/>
        </w:rPr>
      </w:pPr>
      <w:r>
        <w:rPr>
          <w:rFonts w:hint="eastAsia" w:ascii="宋体" w:hAnsi="宋体" w:cs="宋体"/>
          <w:b/>
          <w:color w:val="auto"/>
          <w:sz w:val="24"/>
          <w:highlight w:val="none"/>
        </w:rPr>
        <w:t>供应商直接管理关系信息表</w:t>
      </w:r>
    </w:p>
    <w:tbl>
      <w:tblPr>
        <w:tblStyle w:val="41"/>
        <w:tblW w:w="9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5"/>
        <w:gridCol w:w="2659"/>
        <w:gridCol w:w="3924"/>
        <w:gridCol w:w="2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005"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659"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直接管理关系单位名称</w:t>
            </w:r>
          </w:p>
        </w:tc>
        <w:tc>
          <w:tcPr>
            <w:tcW w:w="3924"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统一社会信用代码</w:t>
            </w:r>
          </w:p>
        </w:tc>
        <w:tc>
          <w:tcPr>
            <w:tcW w:w="2064"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2659"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p>
        </w:tc>
        <w:tc>
          <w:tcPr>
            <w:tcW w:w="3924"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p>
        </w:tc>
        <w:tc>
          <w:tcPr>
            <w:tcW w:w="2064"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2659"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p>
        </w:tc>
        <w:tc>
          <w:tcPr>
            <w:tcW w:w="3924"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p>
        </w:tc>
        <w:tc>
          <w:tcPr>
            <w:tcW w:w="2064"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2659"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p>
        </w:tc>
        <w:tc>
          <w:tcPr>
            <w:tcW w:w="3924"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p>
        </w:tc>
        <w:tc>
          <w:tcPr>
            <w:tcW w:w="2064"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p>
        </w:tc>
      </w:tr>
    </w:tbl>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注：</w:t>
      </w:r>
    </w:p>
    <w:p>
      <w:pPr>
        <w:snapToGrid w:val="0"/>
        <w:spacing w:line="44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1.管理关系：是指不具有出资持股关系的其他单位之间存在的管理与被管理关系，如一些上下级关系的事业单位和团体组织。</w:t>
      </w:r>
    </w:p>
    <w:p>
      <w:pPr>
        <w:snapToGrid w:val="0"/>
        <w:spacing w:line="44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2.本表所指的管理关系仅限于直接管理关系，不包括间接的管理关系。</w:t>
      </w:r>
    </w:p>
    <w:p>
      <w:pPr>
        <w:pStyle w:val="23"/>
        <w:tabs>
          <w:tab w:val="left" w:pos="5529"/>
        </w:tabs>
        <w:wordWrap w:val="0"/>
        <w:spacing w:line="440" w:lineRule="exact"/>
        <w:ind w:firstLine="3240" w:firstLineChars="1620"/>
        <w:rPr>
          <w:rFonts w:hAnsi="宋体" w:cs="宋体"/>
          <w:color w:val="auto"/>
          <w:highlight w:val="none"/>
        </w:rPr>
      </w:pPr>
    </w:p>
    <w:p>
      <w:pPr>
        <w:pStyle w:val="23"/>
        <w:tabs>
          <w:tab w:val="left" w:pos="5529"/>
        </w:tabs>
        <w:wordWrap w:val="0"/>
        <w:spacing w:line="440" w:lineRule="exact"/>
        <w:ind w:firstLine="3240" w:firstLineChars="1620"/>
        <w:rPr>
          <w:rFonts w:hAnsi="宋体" w:cs="宋体"/>
          <w:color w:val="auto"/>
          <w:highlight w:val="none"/>
        </w:rPr>
      </w:pPr>
    </w:p>
    <w:p>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pPr>
        <w:spacing w:line="440" w:lineRule="exact"/>
        <w:ind w:firstLine="6300" w:firstLineChars="3000"/>
        <w:rPr>
          <w:rFonts w:ascii="宋体" w:hAnsi="宋体" w:cs="宋体"/>
          <w:b/>
          <w:bCs/>
          <w:color w:val="auto"/>
          <w:szCs w:val="21"/>
          <w:highlight w:val="none"/>
        </w:rPr>
      </w:pPr>
      <w:r>
        <w:rPr>
          <w:rFonts w:hint="eastAsia" w:ascii="宋体" w:hAnsi="宋体" w:cs="宋体"/>
          <w:color w:val="auto"/>
          <w:szCs w:val="21"/>
          <w:highlight w:val="none"/>
        </w:rPr>
        <w:t>日期： 年 月 日</w:t>
      </w:r>
    </w:p>
    <w:p>
      <w:pPr>
        <w:snapToGrid w:val="0"/>
        <w:spacing w:before="120" w:beforeLines="50" w:after="50" w:line="440" w:lineRule="exact"/>
        <w:rPr>
          <w:rFonts w:ascii="宋体" w:hAnsi="宋体" w:cs="宋体"/>
          <w:b/>
          <w:bCs/>
          <w:color w:val="auto"/>
          <w:szCs w:val="21"/>
          <w:highlight w:val="none"/>
        </w:rPr>
        <w:sectPr>
          <w:pgSz w:w="11906" w:h="16838"/>
          <w:pgMar w:top="1134" w:right="1247" w:bottom="1134" w:left="1247" w:header="851" w:footer="992" w:gutter="0"/>
          <w:cols w:space="720" w:num="1"/>
          <w:docGrid w:linePitch="312" w:charSpace="0"/>
        </w:sectPr>
      </w:pPr>
    </w:p>
    <w:p>
      <w:pPr>
        <w:snapToGrid w:val="0"/>
        <w:spacing w:before="120" w:beforeLines="50" w:after="50" w:line="440" w:lineRule="exact"/>
        <w:rPr>
          <w:rFonts w:ascii="宋体" w:hAnsi="宋体" w:cs="宋体"/>
          <w:b/>
          <w:bCs/>
          <w:color w:val="auto"/>
          <w:szCs w:val="21"/>
          <w:highlight w:val="none"/>
        </w:rPr>
      </w:pPr>
      <w:r>
        <w:rPr>
          <w:rFonts w:hint="eastAsia" w:ascii="宋体" w:hAnsi="宋体" w:cs="宋体"/>
          <w:b/>
          <w:bCs/>
          <w:color w:val="auto"/>
          <w:szCs w:val="21"/>
          <w:highlight w:val="none"/>
        </w:rPr>
        <w:t>2、商务和技术文件格式：</w:t>
      </w: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napToGrid w:val="0"/>
        <w:spacing w:before="120" w:beforeLines="50" w:after="50" w:line="440" w:lineRule="exact"/>
        <w:ind w:firstLine="8" w:firstLineChars="3"/>
        <w:jc w:val="right"/>
        <w:rPr>
          <w:rFonts w:ascii="宋体" w:hAnsi="宋体" w:cs="宋体"/>
          <w:bCs/>
          <w:color w:val="auto"/>
          <w:sz w:val="28"/>
          <w:szCs w:val="28"/>
          <w:highlight w:val="none"/>
        </w:rPr>
      </w:pPr>
      <w:r>
        <w:rPr>
          <w:rFonts w:hint="eastAsia" w:ascii="宋体" w:hAnsi="宋体" w:cs="宋体"/>
          <w:bCs/>
          <w:color w:val="auto"/>
          <w:sz w:val="28"/>
          <w:szCs w:val="28"/>
          <w:highlight w:val="none"/>
        </w:rPr>
        <w:t>电子响应文件</w:t>
      </w:r>
    </w:p>
    <w:p>
      <w:pPr>
        <w:snapToGrid w:val="0"/>
        <w:spacing w:before="120" w:beforeLines="50" w:after="50" w:line="440" w:lineRule="exact"/>
        <w:ind w:firstLine="9" w:firstLineChars="3"/>
        <w:jc w:val="center"/>
        <w:rPr>
          <w:rFonts w:ascii="宋体" w:hAnsi="宋体" w:cs="宋体"/>
          <w:bCs/>
          <w:color w:val="auto"/>
          <w:sz w:val="32"/>
          <w:szCs w:val="32"/>
          <w:highlight w:val="none"/>
        </w:rPr>
      </w:pPr>
    </w:p>
    <w:p>
      <w:pPr>
        <w:snapToGrid w:val="0"/>
        <w:spacing w:before="120" w:beforeLines="50" w:after="50" w:line="440" w:lineRule="exact"/>
        <w:ind w:firstLine="9" w:firstLineChars="3"/>
        <w:jc w:val="center"/>
        <w:rPr>
          <w:rFonts w:ascii="宋体" w:hAnsi="宋体" w:cs="宋体"/>
          <w:bCs/>
          <w:color w:val="auto"/>
          <w:sz w:val="32"/>
          <w:szCs w:val="32"/>
          <w:highlight w:val="none"/>
        </w:rPr>
      </w:pPr>
    </w:p>
    <w:p>
      <w:pPr>
        <w:snapToGrid w:val="0"/>
        <w:spacing w:before="120" w:beforeLines="50" w:after="50" w:line="440" w:lineRule="exact"/>
        <w:ind w:firstLine="9" w:firstLineChars="3"/>
        <w:jc w:val="center"/>
        <w:rPr>
          <w:rFonts w:ascii="宋体" w:hAnsi="宋体" w:cs="宋体"/>
          <w:bCs/>
          <w:color w:val="auto"/>
          <w:sz w:val="32"/>
          <w:szCs w:val="32"/>
          <w:highlight w:val="none"/>
        </w:rPr>
      </w:pPr>
    </w:p>
    <w:p>
      <w:pPr>
        <w:snapToGrid w:val="0"/>
        <w:spacing w:before="120" w:beforeLines="50" w:after="50" w:line="440" w:lineRule="exact"/>
        <w:ind w:firstLine="13" w:firstLineChars="3"/>
        <w:jc w:val="center"/>
        <w:rPr>
          <w:rFonts w:ascii="宋体" w:hAnsi="宋体" w:cs="宋体"/>
          <w:bCs/>
          <w:color w:val="auto"/>
          <w:sz w:val="44"/>
          <w:szCs w:val="44"/>
          <w:highlight w:val="none"/>
        </w:rPr>
      </w:pPr>
      <w:r>
        <w:rPr>
          <w:rFonts w:hint="eastAsia" w:ascii="宋体" w:hAnsi="宋体" w:cs="宋体"/>
          <w:bCs/>
          <w:color w:val="auto"/>
          <w:sz w:val="44"/>
          <w:szCs w:val="44"/>
          <w:highlight w:val="none"/>
        </w:rPr>
        <w:t>响应文件</w:t>
      </w:r>
    </w:p>
    <w:p>
      <w:pPr>
        <w:snapToGrid w:val="0"/>
        <w:spacing w:before="120" w:beforeLines="50" w:after="50" w:line="440" w:lineRule="exact"/>
        <w:ind w:firstLine="9" w:firstLineChars="3"/>
        <w:jc w:val="center"/>
        <w:rPr>
          <w:rFonts w:ascii="宋体" w:hAnsi="宋体" w:cs="宋体"/>
          <w:bCs/>
          <w:color w:val="auto"/>
          <w:sz w:val="32"/>
          <w:szCs w:val="32"/>
          <w:highlight w:val="none"/>
        </w:rPr>
      </w:pPr>
      <w:r>
        <w:rPr>
          <w:rFonts w:hint="eastAsia" w:ascii="宋体" w:hAnsi="宋体" w:cs="宋体"/>
          <w:bCs/>
          <w:color w:val="auto"/>
          <w:sz w:val="32"/>
          <w:szCs w:val="32"/>
          <w:highlight w:val="none"/>
        </w:rPr>
        <w:t>（商务和技术文件）</w:t>
      </w:r>
    </w:p>
    <w:p>
      <w:pPr>
        <w:snapToGrid w:val="0"/>
        <w:spacing w:before="120" w:beforeLines="50" w:after="50" w:line="440" w:lineRule="exact"/>
        <w:rPr>
          <w:rFonts w:ascii="宋体" w:hAnsi="宋体" w:cs="宋体"/>
          <w:bCs/>
          <w:color w:val="auto"/>
          <w:szCs w:val="21"/>
          <w:highlight w:val="none"/>
        </w:rPr>
      </w:pPr>
    </w:p>
    <w:p>
      <w:pPr>
        <w:snapToGrid w:val="0"/>
        <w:spacing w:before="120" w:beforeLines="50" w:after="50"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项目名称：</w:t>
      </w:r>
    </w:p>
    <w:p>
      <w:pPr>
        <w:snapToGrid w:val="0"/>
        <w:spacing w:before="120" w:beforeLines="50" w:after="50" w:line="440" w:lineRule="exact"/>
        <w:ind w:firstLine="675" w:firstLineChars="225"/>
        <w:rPr>
          <w:rFonts w:ascii="宋体" w:hAnsi="宋体" w:cs="宋体"/>
          <w:bCs/>
          <w:color w:val="auto"/>
          <w:sz w:val="30"/>
          <w:szCs w:val="30"/>
          <w:highlight w:val="none"/>
        </w:rPr>
      </w:pPr>
    </w:p>
    <w:p>
      <w:pPr>
        <w:snapToGrid w:val="0"/>
        <w:spacing w:before="120" w:beforeLines="50" w:after="50"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项目编号：</w:t>
      </w:r>
    </w:p>
    <w:p>
      <w:pPr>
        <w:snapToGrid w:val="0"/>
        <w:spacing w:before="120" w:beforeLines="50" w:after="50" w:line="440" w:lineRule="exact"/>
        <w:ind w:firstLine="675" w:firstLineChars="225"/>
        <w:rPr>
          <w:rFonts w:ascii="宋体" w:hAnsi="宋体" w:cs="宋体"/>
          <w:bCs/>
          <w:color w:val="auto"/>
          <w:sz w:val="30"/>
          <w:szCs w:val="30"/>
          <w:highlight w:val="none"/>
        </w:rPr>
      </w:pPr>
    </w:p>
    <w:p>
      <w:pPr>
        <w:snapToGrid w:val="0"/>
        <w:spacing w:before="120" w:beforeLines="50" w:after="50"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标    项：（如有则填写，无分标时填写“无”或者留空）</w:t>
      </w:r>
    </w:p>
    <w:p>
      <w:pPr>
        <w:snapToGrid w:val="0"/>
        <w:spacing w:before="120" w:beforeLines="50" w:after="50" w:line="440" w:lineRule="exact"/>
        <w:ind w:firstLine="675" w:firstLineChars="225"/>
        <w:rPr>
          <w:rFonts w:ascii="宋体" w:hAnsi="宋体" w:cs="宋体"/>
          <w:bCs/>
          <w:color w:val="auto"/>
          <w:sz w:val="30"/>
          <w:szCs w:val="30"/>
          <w:highlight w:val="none"/>
        </w:rPr>
      </w:pPr>
    </w:p>
    <w:p>
      <w:pPr>
        <w:pStyle w:val="11"/>
        <w:snapToGrid w:val="0"/>
        <w:spacing w:before="100" w:beforeAutospacing="1" w:after="100" w:afterAutospacing="1"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供应商名称：（加盖单位电子公章）</w:t>
      </w:r>
    </w:p>
    <w:p>
      <w:pPr>
        <w:pStyle w:val="11"/>
        <w:snapToGrid w:val="0"/>
        <w:spacing w:before="100" w:beforeAutospacing="1" w:after="100" w:afterAutospacing="1" w:line="440" w:lineRule="exact"/>
        <w:ind w:firstLine="675" w:firstLineChars="225"/>
        <w:rPr>
          <w:rFonts w:ascii="宋体" w:hAnsi="宋体" w:cs="宋体"/>
          <w:bCs/>
          <w:color w:val="auto"/>
          <w:sz w:val="30"/>
          <w:szCs w:val="30"/>
          <w:highlight w:val="none"/>
        </w:rPr>
      </w:pPr>
    </w:p>
    <w:p>
      <w:pPr>
        <w:pStyle w:val="11"/>
        <w:snapToGrid w:val="0"/>
        <w:spacing w:before="100" w:beforeAutospacing="1" w:after="100" w:afterAutospacing="1"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供应商地址：</w:t>
      </w:r>
    </w:p>
    <w:p>
      <w:pPr>
        <w:pStyle w:val="11"/>
        <w:snapToGrid w:val="0"/>
        <w:spacing w:before="50" w:after="50" w:line="440" w:lineRule="exact"/>
        <w:ind w:firstLine="675" w:firstLineChars="225"/>
        <w:rPr>
          <w:rFonts w:ascii="宋体" w:hAnsi="宋体" w:cs="宋体"/>
          <w:bCs/>
          <w:color w:val="auto"/>
          <w:sz w:val="30"/>
          <w:szCs w:val="30"/>
          <w:highlight w:val="none"/>
        </w:rPr>
      </w:pPr>
    </w:p>
    <w:p>
      <w:pPr>
        <w:snapToGrid w:val="0"/>
        <w:spacing w:before="120" w:beforeLines="50" w:after="50" w:line="440" w:lineRule="exact"/>
        <w:ind w:firstLine="10"/>
        <w:jc w:val="center"/>
        <w:rPr>
          <w:rFonts w:ascii="宋体" w:hAnsi="宋体" w:cs="宋体"/>
          <w:color w:val="auto"/>
          <w:sz w:val="30"/>
          <w:szCs w:val="30"/>
          <w:highlight w:val="none"/>
        </w:rPr>
      </w:pPr>
    </w:p>
    <w:p>
      <w:pPr>
        <w:snapToGrid w:val="0"/>
        <w:spacing w:before="120" w:beforeLines="50" w:after="50" w:line="440" w:lineRule="exact"/>
        <w:ind w:firstLine="10"/>
        <w:jc w:val="center"/>
        <w:rPr>
          <w:rFonts w:ascii="宋体" w:hAnsi="宋体" w:cs="宋体"/>
          <w:color w:val="auto"/>
          <w:sz w:val="30"/>
          <w:szCs w:val="30"/>
          <w:highlight w:val="none"/>
        </w:rPr>
      </w:pPr>
    </w:p>
    <w:p>
      <w:pPr>
        <w:snapToGrid w:val="0"/>
        <w:spacing w:before="120" w:beforeLines="50" w:after="50" w:line="440" w:lineRule="exact"/>
        <w:ind w:firstLine="10"/>
        <w:jc w:val="center"/>
        <w:rPr>
          <w:rFonts w:ascii="宋体" w:hAnsi="宋体" w:cs="宋体"/>
          <w:color w:val="auto"/>
          <w:sz w:val="30"/>
          <w:szCs w:val="30"/>
          <w:highlight w:val="none"/>
        </w:rPr>
      </w:pPr>
    </w:p>
    <w:p>
      <w:pPr>
        <w:snapToGrid w:val="0"/>
        <w:spacing w:before="120" w:beforeLines="50" w:after="50" w:line="440" w:lineRule="exact"/>
        <w:ind w:firstLine="10"/>
        <w:jc w:val="center"/>
        <w:rPr>
          <w:rFonts w:ascii="宋体" w:hAnsi="宋体" w:cs="宋体"/>
          <w:color w:val="auto"/>
          <w:sz w:val="30"/>
          <w:szCs w:val="30"/>
          <w:highlight w:val="none"/>
        </w:rPr>
      </w:pPr>
      <w:r>
        <w:rPr>
          <w:rFonts w:hint="eastAsia" w:ascii="宋体" w:hAnsi="宋体" w:cs="宋体"/>
          <w:color w:val="auto"/>
          <w:sz w:val="30"/>
          <w:szCs w:val="30"/>
          <w:highlight w:val="none"/>
        </w:rPr>
        <w:t>年   月   日</w:t>
      </w:r>
    </w:p>
    <w:p>
      <w:pPr>
        <w:snapToGrid w:val="0"/>
        <w:spacing w:before="50" w:after="50" w:line="440" w:lineRule="exact"/>
        <w:rPr>
          <w:rFonts w:ascii="宋体" w:hAnsi="宋体" w:cs="宋体"/>
          <w:b/>
          <w:color w:val="auto"/>
          <w:szCs w:val="21"/>
          <w:highlight w:val="none"/>
        </w:rPr>
      </w:pPr>
    </w:p>
    <w:p>
      <w:pPr>
        <w:snapToGrid w:val="0"/>
        <w:spacing w:before="120" w:beforeLines="50" w:after="50" w:line="440" w:lineRule="exact"/>
        <w:jc w:val="center"/>
        <w:rPr>
          <w:rFonts w:ascii="宋体" w:hAnsi="宋体" w:cs="宋体"/>
          <w:b/>
          <w:color w:val="auto"/>
          <w:szCs w:val="21"/>
          <w:highlight w:val="none"/>
        </w:rPr>
      </w:pPr>
      <w:r>
        <w:rPr>
          <w:rFonts w:hint="eastAsia" w:ascii="宋体" w:hAnsi="宋体" w:cs="宋体"/>
          <w:b/>
          <w:color w:val="auto"/>
          <w:szCs w:val="21"/>
          <w:highlight w:val="none"/>
        </w:rPr>
        <w:br w:type="page"/>
      </w:r>
    </w:p>
    <w:p>
      <w:pPr>
        <w:snapToGrid w:val="0"/>
        <w:spacing w:before="120" w:beforeLines="50" w:after="50" w:line="440" w:lineRule="exact"/>
        <w:jc w:val="center"/>
        <w:rPr>
          <w:rFonts w:ascii="宋体" w:hAnsi="宋体" w:cs="宋体"/>
          <w:b/>
          <w:color w:val="auto"/>
          <w:szCs w:val="21"/>
          <w:highlight w:val="none"/>
        </w:rPr>
      </w:pPr>
    </w:p>
    <w:p>
      <w:pPr>
        <w:snapToGrid w:val="0"/>
        <w:spacing w:before="120" w:beforeLines="50" w:after="50" w:line="440" w:lineRule="exact"/>
        <w:jc w:val="center"/>
        <w:rPr>
          <w:rFonts w:ascii="宋体" w:hAnsi="宋体" w:cs="宋体"/>
          <w:b/>
          <w:color w:val="auto"/>
          <w:sz w:val="44"/>
          <w:szCs w:val="44"/>
          <w:highlight w:val="none"/>
        </w:rPr>
      </w:pPr>
      <w:r>
        <w:rPr>
          <w:rFonts w:hint="eastAsia" w:ascii="宋体" w:hAnsi="宋体" w:cs="宋体"/>
          <w:b/>
          <w:color w:val="auto"/>
          <w:sz w:val="44"/>
          <w:szCs w:val="44"/>
          <w:highlight w:val="none"/>
        </w:rPr>
        <w:t>目录</w:t>
      </w:r>
    </w:p>
    <w:p>
      <w:pPr>
        <w:snapToGrid w:val="0"/>
        <w:spacing w:before="120" w:beforeLines="50" w:after="50" w:line="440" w:lineRule="exact"/>
        <w:jc w:val="center"/>
        <w:rPr>
          <w:rFonts w:ascii="宋体" w:hAnsi="宋体" w:cs="宋体"/>
          <w:color w:val="auto"/>
          <w:sz w:val="28"/>
          <w:szCs w:val="28"/>
          <w:highlight w:val="none"/>
        </w:rPr>
      </w:pP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1、商务和技术文件</w:t>
      </w: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1.1</w:t>
      </w:r>
      <w:r>
        <w:rPr>
          <w:rFonts w:hint="eastAsia" w:ascii="宋体" w:hAnsi="宋体" w:cs="宋体"/>
          <w:color w:val="auto"/>
          <w:szCs w:val="21"/>
          <w:highlight w:val="none"/>
        </w:rPr>
        <w:t>法定代表人身份证明书</w:t>
      </w:r>
      <w:r>
        <w:rPr>
          <w:rFonts w:hint="eastAsia" w:ascii="宋体" w:hAnsi="宋体" w:cs="宋体"/>
          <w:bCs/>
          <w:color w:val="auto"/>
          <w:szCs w:val="21"/>
          <w:highlight w:val="none"/>
        </w:rPr>
        <w:t>…………………………………………………………………………</w:t>
      </w:r>
    </w:p>
    <w:p>
      <w:pPr>
        <w:tabs>
          <w:tab w:val="left" w:pos="1418"/>
        </w:tabs>
        <w:snapToGrid w:val="0"/>
        <w:spacing w:before="50" w:after="50" w:line="440" w:lineRule="exact"/>
        <w:rPr>
          <w:rFonts w:ascii="宋体" w:hAnsi="宋体" w:cs="宋体"/>
          <w:color w:val="auto"/>
          <w:szCs w:val="21"/>
          <w:highlight w:val="none"/>
        </w:rPr>
      </w:pPr>
      <w:r>
        <w:rPr>
          <w:rFonts w:hint="eastAsia" w:ascii="宋体" w:hAnsi="宋体" w:cs="宋体"/>
          <w:color w:val="auto"/>
          <w:szCs w:val="21"/>
          <w:highlight w:val="none"/>
        </w:rPr>
        <w:t>1.2法定代表人授权委托书及被授权委托人身份证复印件………………………………</w:t>
      </w:r>
    </w:p>
    <w:p>
      <w:pPr>
        <w:tabs>
          <w:tab w:val="left" w:pos="1418"/>
        </w:tabs>
        <w:snapToGrid w:val="0"/>
        <w:spacing w:before="50" w:after="50" w:line="440" w:lineRule="exact"/>
        <w:rPr>
          <w:rFonts w:ascii="宋体" w:hAnsi="宋体" w:cs="宋体"/>
          <w:color w:val="auto"/>
          <w:szCs w:val="21"/>
          <w:highlight w:val="none"/>
        </w:rPr>
      </w:pPr>
      <w:r>
        <w:rPr>
          <w:rFonts w:hint="eastAsia" w:ascii="宋体" w:hAnsi="宋体" w:cs="宋体"/>
          <w:color w:val="auto"/>
          <w:szCs w:val="21"/>
          <w:highlight w:val="none"/>
        </w:rPr>
        <w:t>1.3供应商情况介绍………………………………</w:t>
      </w: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1.4</w:t>
      </w:r>
      <w:r>
        <w:rPr>
          <w:rFonts w:hint="eastAsia" w:ascii="宋体" w:hAnsi="宋体" w:cs="宋体"/>
          <w:color w:val="auto"/>
          <w:szCs w:val="21"/>
          <w:highlight w:val="none"/>
        </w:rPr>
        <w:t>商务响应表</w:t>
      </w:r>
      <w:r>
        <w:rPr>
          <w:rFonts w:hint="eastAsia" w:ascii="宋体" w:hAnsi="宋体" w:cs="宋体"/>
          <w:bCs/>
          <w:color w:val="auto"/>
          <w:szCs w:val="21"/>
          <w:highlight w:val="none"/>
        </w:rPr>
        <w:t>………………………………………</w:t>
      </w: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1.5</w:t>
      </w:r>
      <w:r>
        <w:rPr>
          <w:rFonts w:hint="eastAsia" w:ascii="宋体" w:hAnsi="宋体" w:cs="宋体"/>
          <w:color w:val="auto"/>
          <w:szCs w:val="21"/>
          <w:highlight w:val="none"/>
        </w:rPr>
        <w:t>技术响应表</w:t>
      </w:r>
      <w:r>
        <w:rPr>
          <w:rFonts w:hint="eastAsia" w:ascii="宋体" w:hAnsi="宋体" w:cs="宋体"/>
          <w:bCs/>
          <w:color w:val="auto"/>
          <w:szCs w:val="21"/>
          <w:highlight w:val="none"/>
        </w:rPr>
        <w:t>……………………………………</w:t>
      </w: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1.6</w:t>
      </w:r>
      <w:r>
        <w:rPr>
          <w:rFonts w:hint="eastAsia" w:ascii="宋体" w:hAnsi="宋体" w:cs="宋体"/>
          <w:color w:val="auto"/>
          <w:szCs w:val="21"/>
          <w:highlight w:val="none"/>
        </w:rPr>
        <w:t>拟投入人员汇总表（附拟投入人员相关证书复印件）</w:t>
      </w:r>
      <w:r>
        <w:rPr>
          <w:rFonts w:hint="eastAsia" w:ascii="宋体" w:hAnsi="宋体" w:cs="宋体"/>
          <w:bCs/>
          <w:color w:val="auto"/>
          <w:szCs w:val="21"/>
          <w:highlight w:val="none"/>
        </w:rPr>
        <w:t>………………………</w:t>
      </w: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1.7</w:t>
      </w:r>
      <w:r>
        <w:rPr>
          <w:rFonts w:hint="eastAsia" w:ascii="宋体" w:hAnsi="宋体" w:cs="宋体"/>
          <w:color w:val="auto"/>
          <w:szCs w:val="21"/>
          <w:highlight w:val="none"/>
        </w:rPr>
        <w:t>项目实施方案</w:t>
      </w:r>
      <w:r>
        <w:rPr>
          <w:rFonts w:hint="eastAsia" w:ascii="宋体" w:hAnsi="宋体" w:cs="宋体"/>
          <w:bCs/>
          <w:color w:val="auto"/>
          <w:szCs w:val="21"/>
          <w:highlight w:val="none"/>
        </w:rPr>
        <w:t>……………………………………</w:t>
      </w: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1.8</w:t>
      </w:r>
      <w:r>
        <w:rPr>
          <w:rFonts w:hint="eastAsia" w:ascii="宋体" w:hAnsi="宋体" w:cs="宋体"/>
          <w:color w:val="auto"/>
          <w:szCs w:val="21"/>
          <w:highlight w:val="none"/>
        </w:rPr>
        <w:t>服务承诺书</w:t>
      </w:r>
      <w:r>
        <w:rPr>
          <w:rFonts w:hint="eastAsia" w:ascii="宋体" w:hAnsi="宋体" w:cs="宋体"/>
          <w:bCs/>
          <w:color w:val="auto"/>
          <w:szCs w:val="21"/>
          <w:highlight w:val="none"/>
        </w:rPr>
        <w:t>………………………………………</w:t>
      </w: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1.9代理服务费承诺书……………………………………</w:t>
      </w: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1.10</w:t>
      </w:r>
      <w:r>
        <w:rPr>
          <w:rFonts w:hint="eastAsia" w:ascii="宋体" w:hAnsi="宋体" w:cs="宋体"/>
          <w:color w:val="auto"/>
          <w:szCs w:val="21"/>
          <w:highlight w:val="none"/>
        </w:rPr>
        <w:t>供应商对本项目的合理化建议和改进措施</w:t>
      </w:r>
      <w:r>
        <w:rPr>
          <w:rFonts w:hint="eastAsia" w:ascii="宋体" w:hAnsi="宋体" w:cs="宋体"/>
          <w:bCs/>
          <w:color w:val="auto"/>
          <w:szCs w:val="21"/>
          <w:highlight w:val="none"/>
        </w:rPr>
        <w:t>……………………………………</w:t>
      </w: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1.11</w:t>
      </w:r>
      <w:r>
        <w:rPr>
          <w:rFonts w:hint="eastAsia" w:ascii="宋体" w:hAnsi="宋体" w:cs="宋体"/>
          <w:color w:val="auto"/>
          <w:highlight w:val="none"/>
        </w:rPr>
        <w:t>供应商认为需要提供的其他证明材料</w:t>
      </w:r>
      <w:r>
        <w:rPr>
          <w:rFonts w:hint="eastAsia" w:ascii="宋体" w:hAnsi="宋体" w:cs="宋体"/>
          <w:bCs/>
          <w:color w:val="auto"/>
          <w:szCs w:val="21"/>
          <w:highlight w:val="none"/>
        </w:rPr>
        <w:t>……………………………………</w:t>
      </w: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b/>
          <w:color w:val="auto"/>
          <w:szCs w:val="21"/>
          <w:highlight w:val="none"/>
        </w:rPr>
        <w:sectPr>
          <w:pgSz w:w="11906" w:h="16838"/>
          <w:pgMar w:top="1134" w:right="1247" w:bottom="1134" w:left="1247" w:header="851" w:footer="992" w:gutter="0"/>
          <w:cols w:space="720" w:num="1"/>
          <w:docGrid w:linePitch="312" w:charSpace="0"/>
        </w:sectPr>
      </w:pP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一、法定代表人身份证明书格式</w:t>
      </w:r>
    </w:p>
    <w:p>
      <w:pPr>
        <w:pStyle w:val="23"/>
        <w:spacing w:line="440" w:lineRule="exact"/>
        <w:ind w:left="-10" w:firstLine="10" w:firstLineChars="3"/>
        <w:jc w:val="center"/>
        <w:rPr>
          <w:rFonts w:hAnsi="宋体" w:cs="宋体"/>
          <w:b/>
          <w:color w:val="auto"/>
          <w:sz w:val="32"/>
          <w:highlight w:val="none"/>
        </w:rPr>
      </w:pPr>
    </w:p>
    <w:p>
      <w:pPr>
        <w:pStyle w:val="23"/>
        <w:spacing w:line="440" w:lineRule="exact"/>
        <w:ind w:left="-10" w:firstLine="10" w:firstLineChars="3"/>
        <w:jc w:val="center"/>
        <w:rPr>
          <w:rFonts w:hAnsi="宋体" w:cs="宋体"/>
          <w:b/>
          <w:color w:val="auto"/>
          <w:sz w:val="32"/>
          <w:highlight w:val="none"/>
        </w:rPr>
      </w:pPr>
      <w:r>
        <w:rPr>
          <w:rFonts w:hint="eastAsia" w:hAnsi="宋体" w:cs="宋体"/>
          <w:b/>
          <w:color w:val="auto"/>
          <w:sz w:val="32"/>
          <w:highlight w:val="none"/>
        </w:rPr>
        <w:t>法定代表人身份证明书</w:t>
      </w:r>
    </w:p>
    <w:p>
      <w:pPr>
        <w:pStyle w:val="23"/>
        <w:spacing w:line="440" w:lineRule="exact"/>
        <w:ind w:left="-10" w:firstLine="13" w:firstLineChars="3"/>
        <w:jc w:val="center"/>
        <w:rPr>
          <w:rFonts w:hAnsi="宋体" w:cs="宋体"/>
          <w:b/>
          <w:color w:val="auto"/>
          <w:sz w:val="44"/>
          <w:highlight w:val="none"/>
        </w:rPr>
      </w:pPr>
    </w:p>
    <w:p>
      <w:pPr>
        <w:pStyle w:val="23"/>
        <w:spacing w:line="440" w:lineRule="exact"/>
        <w:ind w:firstLine="277"/>
        <w:rPr>
          <w:rFonts w:hAnsi="宋体" w:cs="宋体"/>
          <w:color w:val="auto"/>
          <w:sz w:val="21"/>
          <w:highlight w:val="none"/>
          <w:u w:val="single"/>
        </w:rPr>
      </w:pPr>
      <w:r>
        <w:rPr>
          <w:rFonts w:hint="eastAsia" w:hAnsi="宋体" w:cs="宋体"/>
          <w:color w:val="auto"/>
          <w:sz w:val="21"/>
          <w:highlight w:val="none"/>
        </w:rPr>
        <w:t>单位名称：</w:t>
      </w:r>
    </w:p>
    <w:p>
      <w:pPr>
        <w:pStyle w:val="23"/>
        <w:spacing w:line="440" w:lineRule="exact"/>
        <w:ind w:firstLine="277"/>
        <w:rPr>
          <w:rFonts w:hAnsi="宋体" w:cs="宋体"/>
          <w:color w:val="auto"/>
          <w:sz w:val="21"/>
          <w:highlight w:val="none"/>
        </w:rPr>
      </w:pPr>
      <w:r>
        <w:rPr>
          <w:rFonts w:hint="eastAsia" w:hAnsi="宋体" w:cs="宋体"/>
          <w:color w:val="auto"/>
          <w:sz w:val="21"/>
          <w:highlight w:val="none"/>
        </w:rPr>
        <w:t>单位性质：</w:t>
      </w:r>
    </w:p>
    <w:p>
      <w:pPr>
        <w:pStyle w:val="23"/>
        <w:spacing w:line="440" w:lineRule="exact"/>
        <w:ind w:firstLine="277"/>
        <w:rPr>
          <w:rFonts w:hAnsi="宋体" w:cs="宋体"/>
          <w:color w:val="auto"/>
          <w:sz w:val="21"/>
          <w:highlight w:val="none"/>
        </w:rPr>
      </w:pPr>
      <w:r>
        <w:rPr>
          <w:rFonts w:hint="eastAsia" w:hAnsi="宋体" w:cs="宋体"/>
          <w:color w:val="auto"/>
          <w:sz w:val="21"/>
          <w:highlight w:val="none"/>
        </w:rPr>
        <w:t>地    址：</w:t>
      </w:r>
    </w:p>
    <w:p>
      <w:pPr>
        <w:pStyle w:val="23"/>
        <w:spacing w:line="440" w:lineRule="exact"/>
        <w:ind w:firstLine="277"/>
        <w:rPr>
          <w:rFonts w:hAnsi="宋体" w:cs="宋体"/>
          <w:color w:val="auto"/>
          <w:sz w:val="21"/>
          <w:highlight w:val="none"/>
        </w:rPr>
      </w:pPr>
      <w:r>
        <w:rPr>
          <w:rFonts w:hint="eastAsia" w:hAnsi="宋体" w:cs="宋体"/>
          <w:color w:val="auto"/>
          <w:sz w:val="21"/>
          <w:highlight w:val="none"/>
        </w:rPr>
        <w:t>成立时间：年月日</w:t>
      </w:r>
    </w:p>
    <w:p>
      <w:pPr>
        <w:pStyle w:val="23"/>
        <w:spacing w:line="440" w:lineRule="exact"/>
        <w:ind w:firstLine="277"/>
        <w:rPr>
          <w:rFonts w:hAnsi="宋体" w:cs="宋体"/>
          <w:color w:val="auto"/>
          <w:sz w:val="21"/>
          <w:highlight w:val="none"/>
          <w:u w:val="single"/>
        </w:rPr>
      </w:pPr>
      <w:r>
        <w:rPr>
          <w:rFonts w:hint="eastAsia" w:hAnsi="宋体" w:cs="宋体"/>
          <w:color w:val="auto"/>
          <w:sz w:val="21"/>
          <w:highlight w:val="none"/>
        </w:rPr>
        <w:t>经营期限：</w:t>
      </w:r>
    </w:p>
    <w:p>
      <w:pPr>
        <w:pStyle w:val="23"/>
        <w:spacing w:line="440" w:lineRule="exact"/>
        <w:ind w:firstLine="277"/>
        <w:rPr>
          <w:rFonts w:hAnsi="宋体" w:cs="宋体"/>
          <w:color w:val="auto"/>
          <w:sz w:val="21"/>
          <w:highlight w:val="none"/>
        </w:rPr>
      </w:pPr>
      <w:r>
        <w:rPr>
          <w:rFonts w:hint="eastAsia" w:hAnsi="宋体" w:cs="宋体"/>
          <w:color w:val="auto"/>
          <w:sz w:val="21"/>
          <w:highlight w:val="none"/>
        </w:rPr>
        <w:t>姓名：性别：年龄：职务：</w:t>
      </w:r>
    </w:p>
    <w:p>
      <w:pPr>
        <w:pStyle w:val="23"/>
        <w:spacing w:line="440" w:lineRule="exact"/>
        <w:ind w:firstLine="277"/>
        <w:rPr>
          <w:rFonts w:hAnsi="宋体" w:cs="宋体"/>
          <w:color w:val="auto"/>
          <w:sz w:val="21"/>
          <w:highlight w:val="none"/>
        </w:rPr>
      </w:pPr>
      <w:r>
        <w:rPr>
          <w:rFonts w:hint="eastAsia" w:hAnsi="宋体" w:cs="宋体"/>
          <w:color w:val="auto"/>
          <w:sz w:val="21"/>
          <w:highlight w:val="none"/>
        </w:rPr>
        <w:t>系</w:t>
      </w:r>
      <w:r>
        <w:rPr>
          <w:rFonts w:hint="eastAsia" w:hAnsi="宋体" w:cs="宋体"/>
          <w:color w:val="auto"/>
          <w:sz w:val="21"/>
          <w:highlight w:val="none"/>
          <w:u w:val="single"/>
        </w:rPr>
        <w:t xml:space="preserve">     （供应商单位名称）  </w:t>
      </w:r>
      <w:r>
        <w:rPr>
          <w:rFonts w:hint="eastAsia" w:hAnsi="宋体" w:cs="宋体"/>
          <w:color w:val="auto"/>
          <w:sz w:val="21"/>
          <w:highlight w:val="none"/>
        </w:rPr>
        <w:t>的法定代表人。</w:t>
      </w:r>
    </w:p>
    <w:p>
      <w:pPr>
        <w:pStyle w:val="23"/>
        <w:spacing w:line="440" w:lineRule="exact"/>
        <w:ind w:firstLine="277"/>
        <w:rPr>
          <w:rFonts w:hAnsi="宋体" w:cs="宋体"/>
          <w:color w:val="auto"/>
          <w:sz w:val="21"/>
          <w:highlight w:val="none"/>
        </w:rPr>
      </w:pPr>
      <w:r>
        <w:rPr>
          <w:rFonts w:hint="eastAsia" w:hAnsi="宋体" w:cs="宋体"/>
          <w:color w:val="auto"/>
          <w:sz w:val="21"/>
          <w:highlight w:val="none"/>
        </w:rPr>
        <w:t>特此证明。</w:t>
      </w:r>
    </w:p>
    <w:p>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pPr>
        <w:spacing w:line="44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pPr>
        <w:pStyle w:val="23"/>
        <w:spacing w:line="440" w:lineRule="exact"/>
        <w:rPr>
          <w:rFonts w:hAnsi="宋体" w:cs="宋体"/>
          <w:color w:val="auto"/>
          <w:highlight w:val="none"/>
        </w:rPr>
      </w:pPr>
    </w:p>
    <w:p>
      <w:pPr>
        <w:pStyle w:val="23"/>
        <w:spacing w:line="440" w:lineRule="exact"/>
        <w:rPr>
          <w:rFonts w:hAnsi="宋体" w:cs="宋体"/>
          <w:color w:val="auto"/>
          <w:highlight w:val="none"/>
        </w:rPr>
      </w:pPr>
      <w:r>
        <w:rPr>
          <w:rFonts w:hint="eastAsia" w:hAnsi="宋体" w:cs="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12700</wp:posOffset>
                </wp:positionV>
                <wp:extent cx="3239770" cy="2029460"/>
                <wp:effectExtent l="9525" t="12700" r="8255" b="5715"/>
                <wp:wrapNone/>
                <wp:docPr id="9" name="矩形 8"/>
                <wp:cNvGraphicFramePr/>
                <a:graphic xmlns:a="http://schemas.openxmlformats.org/drawingml/2006/main">
                  <a:graphicData uri="http://schemas.microsoft.com/office/word/2010/wordprocessingShape">
                    <wps:wsp>
                      <wps:cNvSpPr>
                        <a:spLocks noChangeArrowheads="1"/>
                      </wps:cNvSpPr>
                      <wps:spPr bwMode="auto">
                        <a:xfrm>
                          <a:off x="0" y="0"/>
                          <a:ext cx="3239770" cy="202946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法定代表人第二代居民身份证复印件</w:t>
                            </w:r>
                          </w:p>
                          <w:p>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8" o:spid="_x0000_s1026" o:spt="1" style="position:absolute;left:0pt;margin-left:9pt;margin-top:1pt;height:159.8pt;width:255.1pt;z-index:251662336;mso-width-relative:page;mso-height-relative:page;" fillcolor="#FFFFFF" filled="t" stroked="t" coordsize="21600,21600" o:gfxdata="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xyeZ7WAAAACAEAAA8AAAAAAAAAAQAgAAAAIgAAAGRycy9kb3du&#10;cmV2LnhtbFBLAQIUABQAAAAIAIdO4kArWGHOOgIAAHsEAAAOAAAAAAAAAAEAIAAAACUBAABkcnMv&#10;ZTJvRG9jLnhtbFBLBQYAAAAABgAGAFkBAADRBQAAAAA=&#10;">
                <v:fill on="t" focussize="0,0"/>
                <v:stroke color="#000000" miterlimit="8" joinstyle="miter"/>
                <v:imagedata o:title=""/>
                <o:lock v:ext="edit" aspectratio="f"/>
                <v:textbox>
                  <w:txbxContent>
                    <w:p/>
                    <w:p/>
                    <w:p/>
                    <w:p/>
                    <w:p>
                      <w:pPr>
                        <w:jc w:val="center"/>
                      </w:pPr>
                      <w:r>
                        <w:rPr>
                          <w:rFonts w:hint="eastAsia"/>
                        </w:rPr>
                        <w:t>法定代表人第二代居民身份证复印件</w:t>
                      </w:r>
                    </w:p>
                    <w:p>
                      <w:pPr>
                        <w:jc w:val="center"/>
                        <w:rPr>
                          <w:b/>
                        </w:rPr>
                      </w:pPr>
                      <w:r>
                        <w:rPr>
                          <w:rFonts w:hint="eastAsia"/>
                          <w:b/>
                        </w:rPr>
                        <w:t>（正面）</w:t>
                      </w:r>
                    </w:p>
                  </w:txbxContent>
                </v:textbox>
              </v:rect>
            </w:pict>
          </mc:Fallback>
        </mc:AlternateContent>
      </w:r>
      <w:r>
        <w:rPr>
          <w:rFonts w:hint="eastAsia" w:hAnsi="宋体" w:cs="宋体"/>
          <w:color w:val="auto"/>
          <w:highlight w:val="none"/>
        </w:rPr>
        <mc:AlternateContent>
          <mc:Choice Requires="wps">
            <w:drawing>
              <wp:anchor distT="180340" distB="0" distL="114300" distR="114300" simplePos="0" relativeHeight="251661312" behindDoc="0" locked="0" layoutInCell="0" allowOverlap="1">
                <wp:simplePos x="0" y="0"/>
                <wp:positionH relativeFrom="column">
                  <wp:posOffset>0</wp:posOffset>
                </wp:positionH>
                <wp:positionV relativeFrom="paragraph">
                  <wp:posOffset>0</wp:posOffset>
                </wp:positionV>
                <wp:extent cx="6134100" cy="0"/>
                <wp:effectExtent l="9525" t="9525" r="9525" b="9525"/>
                <wp:wrapTopAndBottom/>
                <wp:docPr id="8" name="直线 6"/>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9525">
                          <a:solidFill>
                            <a:srgbClr val="000000"/>
                          </a:solidFill>
                          <a:round/>
                        </a:ln>
                      </wps:spPr>
                      <wps:bodyPr/>
                    </wps:wsp>
                  </a:graphicData>
                </a:graphic>
              </wp:anchor>
            </w:drawing>
          </mc:Choice>
          <mc:Fallback>
            <w:pict>
              <v:line id="直线 6" o:spid="_x0000_s1026" o:spt="20" style="position:absolute;left:0pt;margin-left:0pt;margin-top:0pt;height:0pt;width:483pt;mso-wrap-distance-bottom:0pt;mso-wrap-distance-top:14.2pt;z-index:251661312;mso-width-relative:page;mso-height-relative:page;" filled="f" stroked="t" coordsize="21600,21600" o:allowincell="f" o:gfxdata="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wHVPfQAAAAAgEAAA8AAAAAAAAAAQAgAAAAIgAA&#10;AGRycy9kb3ducmV2LnhtbFBLAQIUABQAAAAIAIdO4kClMY4Y1wEAAKEDAAAOAAAAAAAAAAEAIAAA&#10;AB8BAABkcnMvZTJvRG9jLnhtbFBLBQYAAAAABgAGAFkBAABoBQAAAAA=&#10;">
                <v:fill on="f" focussize="0,0"/>
                <v:stroke color="#000000" joinstyle="round"/>
                <v:imagedata o:title=""/>
                <o:lock v:ext="edit" aspectratio="f"/>
                <w10:wrap type="topAndBottom"/>
              </v:line>
            </w:pict>
          </mc:Fallback>
        </mc:AlternateContent>
      </w:r>
    </w:p>
    <w:p>
      <w:pPr>
        <w:pStyle w:val="23"/>
        <w:spacing w:line="440" w:lineRule="exact"/>
        <w:rPr>
          <w:rFonts w:hAnsi="宋体" w:cs="宋体"/>
          <w:color w:val="auto"/>
          <w:highlight w:val="none"/>
        </w:rPr>
      </w:pPr>
    </w:p>
    <w:p>
      <w:pPr>
        <w:pStyle w:val="23"/>
        <w:spacing w:line="440" w:lineRule="exact"/>
        <w:rPr>
          <w:rFonts w:hAnsi="宋体" w:cs="宋体"/>
          <w:color w:val="auto"/>
          <w:highlight w:val="none"/>
        </w:rPr>
      </w:pPr>
    </w:p>
    <w:p>
      <w:pPr>
        <w:pStyle w:val="23"/>
        <w:spacing w:line="440" w:lineRule="exact"/>
        <w:rPr>
          <w:rFonts w:hAnsi="宋体" w:cs="宋体"/>
          <w:color w:val="auto"/>
          <w:highlight w:val="none"/>
        </w:rPr>
      </w:pPr>
    </w:p>
    <w:p>
      <w:pPr>
        <w:pStyle w:val="23"/>
        <w:spacing w:line="440" w:lineRule="exact"/>
        <w:rPr>
          <w:rFonts w:hAnsi="宋体" w:cs="宋体"/>
          <w:color w:val="auto"/>
          <w:highlight w:val="none"/>
        </w:rPr>
      </w:pPr>
    </w:p>
    <w:p>
      <w:pPr>
        <w:pStyle w:val="23"/>
        <w:spacing w:line="440" w:lineRule="exact"/>
        <w:ind w:firstLine="6000" w:firstLineChars="3000"/>
        <w:rPr>
          <w:rFonts w:hAnsi="宋体" w:cs="宋体"/>
          <w:color w:val="auto"/>
          <w:highlight w:val="none"/>
        </w:rPr>
      </w:pPr>
    </w:p>
    <w:p>
      <w:pPr>
        <w:pStyle w:val="23"/>
        <w:spacing w:line="440" w:lineRule="exact"/>
        <w:rPr>
          <w:rFonts w:hAnsi="宋体" w:cs="宋体"/>
          <w:color w:val="auto"/>
          <w:highlight w:val="none"/>
        </w:rPr>
      </w:pPr>
    </w:p>
    <w:p>
      <w:pPr>
        <w:pStyle w:val="23"/>
        <w:spacing w:line="440" w:lineRule="exact"/>
        <w:rPr>
          <w:rFonts w:hAnsi="宋体" w:cs="宋体"/>
          <w:color w:val="auto"/>
          <w:highlight w:val="none"/>
        </w:rPr>
      </w:pPr>
    </w:p>
    <w:p>
      <w:pPr>
        <w:pStyle w:val="23"/>
        <w:spacing w:line="440" w:lineRule="exact"/>
        <w:rPr>
          <w:rFonts w:hAnsi="宋体" w:cs="宋体"/>
          <w:color w:val="auto"/>
          <w:highlight w:val="none"/>
        </w:rPr>
      </w:pPr>
      <w:r>
        <w:rPr>
          <w:rFonts w:hint="eastAsia" w:hAnsi="宋体" w:cs="宋体"/>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66040</wp:posOffset>
                </wp:positionV>
                <wp:extent cx="3220720" cy="1893570"/>
                <wp:effectExtent l="9525" t="8890" r="8255" b="12065"/>
                <wp:wrapNone/>
                <wp:docPr id="7" name="矩形 7"/>
                <wp:cNvGraphicFramePr/>
                <a:graphic xmlns:a="http://schemas.openxmlformats.org/drawingml/2006/main">
                  <a:graphicData uri="http://schemas.microsoft.com/office/word/2010/wordprocessingShape">
                    <wps:wsp>
                      <wps:cNvSpPr>
                        <a:spLocks noChangeArrowheads="1"/>
                      </wps:cNvSpPr>
                      <wps:spPr bwMode="auto">
                        <a:xfrm>
                          <a:off x="0" y="0"/>
                          <a:ext cx="3220720" cy="18935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法定代表人第二代居民身份证复印件</w:t>
                            </w:r>
                          </w:p>
                          <w:p>
                            <w:pPr>
                              <w:jc w:val="center"/>
                              <w:rPr>
                                <w:b/>
                              </w:rPr>
                            </w:pPr>
                            <w:r>
                              <w:rPr>
                                <w:rFonts w:hint="eastAsia"/>
                                <w:b/>
                              </w:rPr>
                              <w:t>（背面）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5.2pt;height:149.1pt;width:253.6pt;z-index:251663360;mso-width-relative:page;mso-height-relative:page;" fillcolor="#FFFFFF" filled="t" stroked="t" coordsize="21600,21600" o:gfxdata="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Pw7Th1wAAAAkBAAAPAAAAAAAAAAEAIAAAACIAAABkcnMvZG93&#10;bnJldi54bWxQSwECFAAUAAAACACHTuJALyW2ezoCAAB7BAAADgAAAAAAAAABACAAAAAmAQAAZHJz&#10;L2Uyb0RvYy54bWxQSwUGAAAAAAYABgBZAQAA0gUAAAAA&#10;">
                <v:fill on="t" focussize="0,0"/>
                <v:stroke color="#000000" miterlimit="8" joinstyle="miter"/>
                <v:imagedata o:title=""/>
                <o:lock v:ext="edit" aspectratio="f"/>
                <v:textbox>
                  <w:txbxContent>
                    <w:p/>
                    <w:p/>
                    <w:p/>
                    <w:p/>
                    <w:p>
                      <w:pPr>
                        <w:jc w:val="center"/>
                      </w:pPr>
                      <w:r>
                        <w:rPr>
                          <w:rFonts w:hint="eastAsia"/>
                        </w:rPr>
                        <w:t>法定代表人第二代居民身份证复印件</w:t>
                      </w:r>
                    </w:p>
                    <w:p>
                      <w:pPr>
                        <w:jc w:val="center"/>
                        <w:rPr>
                          <w:b/>
                        </w:rPr>
                      </w:pPr>
                      <w:r>
                        <w:rPr>
                          <w:rFonts w:hint="eastAsia"/>
                          <w:b/>
                        </w:rPr>
                        <w:t>（背面）</w:t>
                      </w:r>
                    </w:p>
                  </w:txbxContent>
                </v:textbox>
              </v:rect>
            </w:pict>
          </mc:Fallback>
        </mc:AlternateContent>
      </w:r>
    </w:p>
    <w:p>
      <w:pPr>
        <w:pStyle w:val="23"/>
        <w:spacing w:line="440" w:lineRule="exact"/>
        <w:rPr>
          <w:rFonts w:hAnsi="宋体" w:cs="宋体"/>
          <w:color w:val="auto"/>
          <w:highlight w:val="none"/>
        </w:rPr>
      </w:pPr>
    </w:p>
    <w:p>
      <w:pPr>
        <w:pStyle w:val="23"/>
        <w:spacing w:line="440" w:lineRule="exact"/>
        <w:rPr>
          <w:rFonts w:hAnsi="宋体" w:cs="宋体"/>
          <w:color w:val="auto"/>
          <w:highlight w:val="none"/>
        </w:rPr>
      </w:pPr>
    </w:p>
    <w:p>
      <w:pPr>
        <w:pStyle w:val="23"/>
        <w:spacing w:line="440" w:lineRule="exact"/>
        <w:rPr>
          <w:rFonts w:hAnsi="宋体" w:cs="宋体"/>
          <w:color w:val="auto"/>
          <w:sz w:val="44"/>
          <w:highlight w:val="none"/>
        </w:rPr>
      </w:pPr>
    </w:p>
    <w:p>
      <w:pPr>
        <w:pStyle w:val="23"/>
        <w:spacing w:line="440" w:lineRule="exact"/>
        <w:rPr>
          <w:rFonts w:hAnsi="宋体" w:cs="宋体"/>
          <w:color w:val="auto"/>
          <w:sz w:val="44"/>
          <w:highlight w:val="none"/>
        </w:rPr>
      </w:pPr>
    </w:p>
    <w:p>
      <w:pPr>
        <w:pStyle w:val="23"/>
        <w:spacing w:line="440" w:lineRule="exact"/>
        <w:rPr>
          <w:rFonts w:hAnsi="宋体" w:cs="宋体"/>
          <w:color w:val="auto"/>
          <w:sz w:val="44"/>
          <w:highlight w:val="none"/>
        </w:rPr>
      </w:pPr>
    </w:p>
    <w:p>
      <w:pPr>
        <w:spacing w:line="440" w:lineRule="exact"/>
        <w:rPr>
          <w:rFonts w:ascii="宋体" w:hAnsi="宋体" w:cs="宋体"/>
          <w:color w:val="auto"/>
          <w:highlight w:val="none"/>
        </w:rPr>
      </w:pPr>
    </w:p>
    <w:p>
      <w:pPr>
        <w:pStyle w:val="23"/>
        <w:spacing w:line="440" w:lineRule="exact"/>
        <w:ind w:firstLine="5500" w:firstLineChars="2750"/>
        <w:rPr>
          <w:rFonts w:hAnsi="宋体" w:cs="宋体"/>
          <w:color w:val="auto"/>
          <w:highlight w:val="none"/>
        </w:rPr>
      </w:pPr>
    </w:p>
    <w:p>
      <w:pPr>
        <w:pStyle w:val="23"/>
        <w:spacing w:line="440" w:lineRule="exact"/>
        <w:ind w:firstLine="5500" w:firstLineChars="2750"/>
        <w:rPr>
          <w:rFonts w:hAnsi="宋体" w:cs="宋体"/>
          <w:color w:val="auto"/>
          <w:highlight w:val="none"/>
        </w:rPr>
      </w:pPr>
    </w:p>
    <w:p>
      <w:pPr>
        <w:spacing w:line="440" w:lineRule="exact"/>
        <w:rPr>
          <w:rFonts w:ascii="宋体" w:hAnsi="宋体" w:cs="宋体"/>
          <w:b/>
          <w:color w:val="auto"/>
          <w:highlight w:val="none"/>
        </w:rPr>
      </w:pPr>
      <w:r>
        <w:rPr>
          <w:rFonts w:hint="eastAsia" w:ascii="宋体" w:hAnsi="宋体" w:cs="宋体"/>
          <w:b/>
          <w:color w:val="auto"/>
          <w:highlight w:val="none"/>
        </w:rPr>
        <w:t>二、法定代表人授权委托书格式</w:t>
      </w:r>
    </w:p>
    <w:p>
      <w:pPr>
        <w:pStyle w:val="23"/>
        <w:spacing w:line="440" w:lineRule="exact"/>
        <w:jc w:val="center"/>
        <w:rPr>
          <w:rFonts w:hAnsi="宋体" w:cs="宋体"/>
          <w:b/>
          <w:color w:val="auto"/>
          <w:sz w:val="32"/>
          <w:highlight w:val="none"/>
        </w:rPr>
      </w:pPr>
    </w:p>
    <w:p>
      <w:pPr>
        <w:pStyle w:val="23"/>
        <w:spacing w:line="440" w:lineRule="exact"/>
        <w:jc w:val="center"/>
        <w:rPr>
          <w:rFonts w:hAnsi="宋体" w:cs="宋体"/>
          <w:b/>
          <w:color w:val="auto"/>
          <w:sz w:val="32"/>
          <w:highlight w:val="none"/>
        </w:rPr>
      </w:pPr>
      <w:r>
        <w:rPr>
          <w:rFonts w:hint="eastAsia" w:hAnsi="宋体" w:cs="宋体"/>
          <w:b/>
          <w:color w:val="auto"/>
          <w:sz w:val="32"/>
          <w:highlight w:val="none"/>
        </w:rPr>
        <w:t>法定代表人授权委托书</w:t>
      </w:r>
    </w:p>
    <w:p>
      <w:pPr>
        <w:snapToGrid w:val="0"/>
        <w:spacing w:line="440" w:lineRule="exact"/>
        <w:rPr>
          <w:rFonts w:ascii="宋体" w:hAnsi="宋体" w:cs="宋体"/>
          <w:b/>
          <w:bCs/>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u w:val="single"/>
        </w:rPr>
        <w:t xml:space="preserve"> 广西德元工程项目管理有限责任公司</w:t>
      </w:r>
      <w:r>
        <w:rPr>
          <w:rFonts w:hint="eastAsia" w:ascii="宋体" w:hAnsi="宋体" w:cs="宋体"/>
          <w:color w:val="auto"/>
          <w:szCs w:val="21"/>
          <w:highlight w:val="none"/>
        </w:rPr>
        <w:t>：</w:t>
      </w:r>
    </w:p>
    <w:p>
      <w:pPr>
        <w:snapToGrid w:val="0"/>
        <w:spacing w:line="440" w:lineRule="exact"/>
        <w:ind w:firstLine="630" w:firstLineChars="300"/>
        <w:rPr>
          <w:rFonts w:ascii="宋体" w:hAnsi="宋体" w:cs="宋体"/>
          <w:color w:val="auto"/>
          <w:szCs w:val="21"/>
          <w:highlight w:val="none"/>
        </w:rPr>
      </w:pPr>
      <w:r>
        <w:rPr>
          <w:rFonts w:hint="eastAsia" w:ascii="宋体" w:hAnsi="宋体" w:cs="宋体"/>
          <w:color w:val="auto"/>
          <w:szCs w:val="21"/>
          <w:highlight w:val="none"/>
        </w:rPr>
        <w:t>我 （姓名）系（供应商名称）的法定代表人，现授权委托（姓名）以我方的名义参加项目的磋商采购活动，并代表我方全权办理针对上述磋商采购项目的磋商、开标、评标、签约等具体事务和签署相关文件。</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    我方对被授权人的签名事项负全部责任。代理期限从   年  月  日至   年  月  日止。</w:t>
      </w:r>
    </w:p>
    <w:p>
      <w:pPr>
        <w:snapToGrid w:val="0"/>
        <w:spacing w:line="440" w:lineRule="exact"/>
        <w:ind w:firstLine="480"/>
        <w:rPr>
          <w:rFonts w:ascii="宋体" w:hAnsi="宋体" w:cs="宋体"/>
          <w:color w:val="auto"/>
          <w:szCs w:val="21"/>
          <w:highlight w:val="none"/>
        </w:rPr>
      </w:pPr>
      <w:r>
        <w:rPr>
          <w:rFonts w:hint="eastAsia" w:ascii="宋体" w:hAnsi="宋体" w:cs="宋体"/>
          <w:color w:val="auto"/>
          <w:szCs w:val="21"/>
          <w:highlight w:val="none"/>
          <w:u w:val="single"/>
        </w:rPr>
        <w:t>在撤销授权的书面通知以前，本授权书一直有效。</w:t>
      </w:r>
      <w:r>
        <w:rPr>
          <w:rFonts w:hint="eastAsia" w:ascii="宋体" w:hAnsi="宋体" w:cs="宋体"/>
          <w:color w:val="auto"/>
          <w:szCs w:val="21"/>
          <w:highlight w:val="none"/>
        </w:rPr>
        <w:t>被授权人在授权书有效期内签署的所有文件不因授权的撤销而失效。</w:t>
      </w:r>
    </w:p>
    <w:p>
      <w:pPr>
        <w:snapToGrid w:val="0"/>
        <w:spacing w:line="440" w:lineRule="exact"/>
        <w:ind w:firstLine="480"/>
        <w:rPr>
          <w:rFonts w:ascii="宋体" w:hAnsi="宋体" w:cs="宋体"/>
          <w:color w:val="auto"/>
          <w:szCs w:val="21"/>
          <w:highlight w:val="none"/>
        </w:rPr>
      </w:pPr>
      <w:r>
        <w:rPr>
          <w:rFonts w:hint="eastAsia" w:ascii="宋体" w:hAnsi="宋体" w:cs="宋体"/>
          <w:color w:val="auto"/>
          <w:szCs w:val="21"/>
          <w:highlight w:val="none"/>
        </w:rPr>
        <w:t>被授权人无转委托权，特此委托。</w:t>
      </w:r>
    </w:p>
    <w:p>
      <w:pPr>
        <w:snapToGrid w:val="0"/>
        <w:spacing w:line="440" w:lineRule="exact"/>
        <w:rPr>
          <w:rFonts w:ascii="宋体" w:hAnsi="宋体" w:cs="宋体"/>
          <w:color w:val="auto"/>
          <w:szCs w:val="21"/>
          <w:highlight w:val="none"/>
        </w:rPr>
      </w:pPr>
    </w:p>
    <w:p>
      <w:pPr>
        <w:snapToGrid w:val="0"/>
        <w:spacing w:line="440" w:lineRule="exact"/>
        <w:rPr>
          <w:rFonts w:ascii="宋体" w:hAnsi="宋体" w:cs="宋体"/>
          <w:color w:val="auto"/>
          <w:szCs w:val="21"/>
          <w:highlight w:val="none"/>
          <w:u w:val="single"/>
        </w:rPr>
      </w:pPr>
      <w:r>
        <w:rPr>
          <w:rFonts w:hint="eastAsia" w:ascii="宋体" w:hAnsi="宋体" w:cs="宋体"/>
          <w:color w:val="auto"/>
          <w:szCs w:val="21"/>
          <w:highlight w:val="none"/>
        </w:rPr>
        <w:t>被授权人</w:t>
      </w:r>
      <w:r>
        <w:rPr>
          <w:rFonts w:hint="eastAsia" w:ascii="宋体" w:hAnsi="宋体" w:cs="宋体"/>
          <w:b/>
          <w:color w:val="auto"/>
          <w:szCs w:val="21"/>
          <w:highlight w:val="none"/>
        </w:rPr>
        <w:t>签名</w:t>
      </w:r>
      <w:r>
        <w:rPr>
          <w:rFonts w:hint="eastAsia" w:ascii="宋体" w:hAnsi="宋体" w:cs="宋体"/>
          <w:color w:val="auto"/>
          <w:szCs w:val="21"/>
          <w:highlight w:val="none"/>
        </w:rPr>
        <w:t>：            法定代表人</w:t>
      </w:r>
      <w:r>
        <w:rPr>
          <w:rFonts w:hint="eastAsia" w:ascii="宋体" w:hAnsi="宋体" w:cs="宋体"/>
          <w:b/>
          <w:color w:val="auto"/>
          <w:szCs w:val="21"/>
          <w:highlight w:val="none"/>
        </w:rPr>
        <w:t>签名</w:t>
      </w:r>
      <w:r>
        <w:rPr>
          <w:rFonts w:hint="eastAsia" w:ascii="宋体" w:hAnsi="宋体" w:cs="宋体"/>
          <w:color w:val="auto"/>
          <w:szCs w:val="21"/>
          <w:highlight w:val="none"/>
        </w:rPr>
        <w:t>：</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所在部门职务：            职务：</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被授权人身份证号码：</w:t>
      </w:r>
    </w:p>
    <w:p>
      <w:pPr>
        <w:spacing w:line="440" w:lineRule="exact"/>
        <w:ind w:firstLine="6090" w:firstLineChars="2900"/>
        <w:jc w:val="right"/>
        <w:rPr>
          <w:rFonts w:ascii="宋体" w:hAnsi="宋体" w:cs="宋体"/>
          <w:color w:val="auto"/>
          <w:szCs w:val="21"/>
          <w:highlight w:val="none"/>
        </w:rPr>
      </w:pPr>
      <w:r>
        <w:rPr>
          <w:rFonts w:hint="eastAsia" w:ascii="宋体" w:hAnsi="宋体" w:cs="宋体"/>
          <w:color w:val="auto"/>
          <w:szCs w:val="21"/>
          <w:highlight w:val="none"/>
        </w:rPr>
        <w:t>供应商名称(电子签章)：</w:t>
      </w:r>
    </w:p>
    <w:p>
      <w:pPr>
        <w:spacing w:line="440" w:lineRule="exact"/>
        <w:ind w:firstLine="6300" w:firstLineChars="3000"/>
        <w:jc w:val="right"/>
        <w:rPr>
          <w:rFonts w:ascii="宋体" w:hAnsi="宋体" w:cs="宋体"/>
          <w:color w:val="auto"/>
          <w:szCs w:val="21"/>
          <w:highlight w:val="none"/>
        </w:rPr>
      </w:pPr>
      <w:r>
        <w:rPr>
          <w:rFonts w:hint="eastAsia" w:ascii="宋体" w:hAnsi="宋体" w:cs="宋体"/>
          <w:color w:val="auto"/>
          <w:szCs w:val="21"/>
          <w:highlight w:val="none"/>
        </w:rPr>
        <w:t>日期： 年 月 日</w:t>
      </w:r>
    </w:p>
    <w:p>
      <w:pPr>
        <w:snapToGrid w:val="0"/>
        <w:spacing w:line="440" w:lineRule="exact"/>
        <w:jc w:val="center"/>
        <w:rPr>
          <w:rFonts w:ascii="宋体" w:hAnsi="宋体" w:cs="宋体"/>
          <w:color w:val="auto"/>
          <w:highlight w:val="none"/>
        </w:rPr>
      </w:pPr>
    </w:p>
    <w:p>
      <w:pPr>
        <w:pStyle w:val="23"/>
        <w:spacing w:line="440" w:lineRule="exact"/>
        <w:rPr>
          <w:rFonts w:hAnsi="宋体" w:cs="宋体"/>
          <w:color w:val="auto"/>
          <w:highlight w:val="none"/>
        </w:rPr>
      </w:pPr>
      <w:r>
        <w:rPr>
          <w:rFonts w:hint="eastAsia" w:hAnsi="宋体" w:cs="宋体"/>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12700</wp:posOffset>
                </wp:positionV>
                <wp:extent cx="3125470" cy="1941830"/>
                <wp:effectExtent l="9525" t="12700" r="8255" b="7620"/>
                <wp:wrapNone/>
                <wp:docPr id="6" name="矩形 11"/>
                <wp:cNvGraphicFramePr/>
                <a:graphic xmlns:a="http://schemas.openxmlformats.org/drawingml/2006/main">
                  <a:graphicData uri="http://schemas.microsoft.com/office/word/2010/wordprocessingShape">
                    <wps:wsp>
                      <wps:cNvSpPr>
                        <a:spLocks noChangeArrowheads="1"/>
                      </wps:cNvSpPr>
                      <wps:spPr bwMode="auto">
                        <a:xfrm>
                          <a:off x="0" y="0"/>
                          <a:ext cx="3125470" cy="1941830"/>
                        </a:xfrm>
                        <a:prstGeom prst="rect">
                          <a:avLst/>
                        </a:prstGeom>
                        <a:solidFill>
                          <a:srgbClr val="FFFFFF"/>
                        </a:solidFill>
                        <a:ln w="9525">
                          <a:solidFill>
                            <a:srgbClr val="000000"/>
                          </a:solidFill>
                          <a:miter lim="800000"/>
                        </a:ln>
                      </wps:spPr>
                      <wps:txbx>
                        <w:txbxContent>
                          <w:p/>
                          <w:p/>
                          <w:p/>
                          <w:p/>
                          <w:p/>
                          <w:p>
                            <w:pPr>
                              <w:jc w:val="center"/>
                            </w:pPr>
                            <w:r>
                              <w:rPr>
                                <w:rFonts w:hint="eastAsia"/>
                              </w:rPr>
                              <w:t>委托代理人第二代居民身份证复印件</w:t>
                            </w:r>
                          </w:p>
                          <w:p>
                            <w:pPr>
                              <w:jc w:val="center"/>
                            </w:pPr>
                            <w:r>
                              <w:rPr>
                                <w:rFonts w:hint="eastAsia"/>
                                <w:b/>
                              </w:rPr>
                              <w:t>（正面）</w:t>
                            </w:r>
                          </w:p>
                          <w:p>
                            <w:pPr>
                              <w:jc w:val="center"/>
                            </w:pPr>
                          </w:p>
                        </w:txbxContent>
                      </wps:txbx>
                      <wps:bodyPr rot="0" vert="horz" wrap="square" lIns="91440" tIns="45720" rIns="91440" bIns="45720" anchor="t" anchorCtr="0" upright="1">
                        <a:noAutofit/>
                      </wps:bodyPr>
                    </wps:wsp>
                  </a:graphicData>
                </a:graphic>
              </wp:anchor>
            </w:drawing>
          </mc:Choice>
          <mc:Fallback>
            <w:pict>
              <v:rect id="矩形 11" o:spid="_x0000_s1026" o:spt="1" style="position:absolute;left:0pt;margin-left:9pt;margin-top:1pt;height:152.9pt;width:246.1pt;z-index:251666432;mso-width-relative:page;mso-height-relative:page;" fillcolor="#FFFFFF" filled="t" stroked="t" coordsize="21600,21600" o:gfxdata="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YGJ6A1gAAAAgBAAAPAAAAAAAAAAEAIAAAACIAAABkcnMvZG93&#10;bnJldi54bWxQSwECFAAUAAAACACHTuJARiUrnTsCAAB8BAAADgAAAAAAAAABACAAAAAlAQAAZHJz&#10;L2Uyb0RvYy54bWxQSwUGAAAAAAYABgBZAQAA0gUAAAAA&#10;">
                <v:fill on="t" focussize="0,0"/>
                <v:stroke color="#000000" miterlimit="8" joinstyle="miter"/>
                <v:imagedata o:title=""/>
                <o:lock v:ext="edit" aspectratio="f"/>
                <v:textbox>
                  <w:txbxContent>
                    <w:p/>
                    <w:p/>
                    <w:p/>
                    <w:p/>
                    <w:p/>
                    <w:p>
                      <w:pPr>
                        <w:jc w:val="center"/>
                      </w:pPr>
                      <w:r>
                        <w:rPr>
                          <w:rFonts w:hint="eastAsia"/>
                        </w:rPr>
                        <w:t>委托代理人第二代居民身份证复印件</w:t>
                      </w:r>
                    </w:p>
                    <w:p>
                      <w:pPr>
                        <w:jc w:val="center"/>
                      </w:pPr>
                      <w:r>
                        <w:rPr>
                          <w:rFonts w:hint="eastAsia"/>
                          <w:b/>
                        </w:rPr>
                        <w:t>（正面）</w:t>
                      </w:r>
                    </w:p>
                    <w:p>
                      <w:pPr>
                        <w:jc w:val="center"/>
                      </w:pPr>
                    </w:p>
                  </w:txbxContent>
                </v:textbox>
              </v:rect>
            </w:pict>
          </mc:Fallback>
        </mc:AlternateContent>
      </w:r>
      <w:r>
        <w:rPr>
          <w:rFonts w:hint="eastAsia" w:hAnsi="宋体" w:cs="宋体"/>
          <w:color w:val="auto"/>
          <w:highlight w:val="none"/>
        </w:rPr>
        <mc:AlternateContent>
          <mc:Choice Requires="wps">
            <w:drawing>
              <wp:anchor distT="180340" distB="0" distL="114300" distR="114300" simplePos="0" relativeHeight="251664384" behindDoc="0" locked="0" layoutInCell="0" allowOverlap="1">
                <wp:simplePos x="0" y="0"/>
                <wp:positionH relativeFrom="column">
                  <wp:posOffset>0</wp:posOffset>
                </wp:positionH>
                <wp:positionV relativeFrom="paragraph">
                  <wp:posOffset>0</wp:posOffset>
                </wp:positionV>
                <wp:extent cx="6134100" cy="0"/>
                <wp:effectExtent l="9525" t="9525" r="9525" b="9525"/>
                <wp:wrapTopAndBottom/>
                <wp:docPr id="5" name="直线 9"/>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9525">
                          <a:solidFill>
                            <a:srgbClr val="000000"/>
                          </a:solidFill>
                          <a:round/>
                        </a:ln>
                      </wps:spPr>
                      <wps:bodyPr/>
                    </wps:wsp>
                  </a:graphicData>
                </a:graphic>
              </wp:anchor>
            </w:drawing>
          </mc:Choice>
          <mc:Fallback>
            <w:pict>
              <v:line id="直线 9" o:spid="_x0000_s1026" o:spt="20" style="position:absolute;left:0pt;margin-left:0pt;margin-top:0pt;height:0pt;width:483pt;mso-wrap-distance-bottom:0pt;mso-wrap-distance-top:14.2pt;z-index:251664384;mso-width-relative:page;mso-height-relative:page;" filled="f" stroked="t" coordsize="21600,21600" o:allowincell="f" o:gfxdata="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wHVPfQAAAAAgEAAA8AAAAAAAAAAQAgAAAAIgAA&#10;AGRycy9kb3ducmV2LnhtbFBLAQIUABQAAAAIAIdO4kATg5+i1wEAAKEDAAAOAAAAAAAAAAEAIAAA&#10;AB8BAABkcnMvZTJvRG9jLnhtbFBLBQYAAAAABgAGAFkBAABoBQAAAAA=&#10;">
                <v:fill on="f" focussize="0,0"/>
                <v:stroke color="#000000" joinstyle="round"/>
                <v:imagedata o:title=""/>
                <o:lock v:ext="edit" aspectratio="f"/>
                <w10:wrap type="topAndBottom"/>
              </v:line>
            </w:pict>
          </mc:Fallback>
        </mc:AlternateContent>
      </w:r>
    </w:p>
    <w:p>
      <w:pPr>
        <w:pStyle w:val="23"/>
        <w:spacing w:line="440" w:lineRule="exact"/>
        <w:rPr>
          <w:rFonts w:hAnsi="宋体" w:cs="宋体"/>
          <w:color w:val="auto"/>
          <w:highlight w:val="none"/>
        </w:rPr>
      </w:pPr>
    </w:p>
    <w:p>
      <w:pPr>
        <w:pStyle w:val="23"/>
        <w:spacing w:line="440" w:lineRule="exact"/>
        <w:rPr>
          <w:rFonts w:hAnsi="宋体" w:cs="宋体"/>
          <w:color w:val="auto"/>
          <w:highlight w:val="none"/>
        </w:rPr>
      </w:pPr>
    </w:p>
    <w:p>
      <w:pPr>
        <w:pStyle w:val="23"/>
        <w:spacing w:line="440" w:lineRule="exact"/>
        <w:rPr>
          <w:rFonts w:hAnsi="宋体" w:cs="宋体"/>
          <w:color w:val="auto"/>
          <w:highlight w:val="none"/>
        </w:rPr>
      </w:pPr>
    </w:p>
    <w:p>
      <w:pPr>
        <w:pStyle w:val="23"/>
        <w:spacing w:line="440" w:lineRule="exact"/>
        <w:rPr>
          <w:rFonts w:hAnsi="宋体" w:cs="宋体"/>
          <w:color w:val="auto"/>
          <w:highlight w:val="none"/>
        </w:rPr>
      </w:pPr>
    </w:p>
    <w:p>
      <w:pPr>
        <w:pStyle w:val="23"/>
        <w:spacing w:line="440" w:lineRule="exact"/>
        <w:ind w:firstLine="5200" w:firstLineChars="2600"/>
        <w:rPr>
          <w:rFonts w:hAnsi="宋体" w:cs="宋体"/>
          <w:color w:val="auto"/>
          <w:highlight w:val="none"/>
          <w:u w:val="single"/>
        </w:rPr>
      </w:pPr>
    </w:p>
    <w:p>
      <w:pPr>
        <w:pStyle w:val="23"/>
        <w:spacing w:line="440" w:lineRule="exact"/>
        <w:rPr>
          <w:rFonts w:hAnsi="宋体" w:cs="宋体"/>
          <w:color w:val="auto"/>
          <w:highlight w:val="none"/>
        </w:rPr>
      </w:pPr>
    </w:p>
    <w:p>
      <w:pPr>
        <w:pStyle w:val="23"/>
        <w:spacing w:line="440" w:lineRule="exact"/>
        <w:rPr>
          <w:rFonts w:hAnsi="宋体" w:cs="宋体"/>
          <w:color w:val="auto"/>
          <w:highlight w:val="none"/>
        </w:rPr>
      </w:pPr>
      <w:r>
        <w:rPr>
          <w:rFonts w:hint="eastAsia" w:hAnsi="宋体" w:cs="宋体"/>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79375</wp:posOffset>
                </wp:positionH>
                <wp:positionV relativeFrom="paragraph">
                  <wp:posOffset>105410</wp:posOffset>
                </wp:positionV>
                <wp:extent cx="3220720" cy="1827530"/>
                <wp:effectExtent l="12700" t="10160" r="5080" b="10160"/>
                <wp:wrapSquare wrapText="bothSides"/>
                <wp:docPr id="4" name="矩形 10"/>
                <wp:cNvGraphicFramePr/>
                <a:graphic xmlns:a="http://schemas.openxmlformats.org/drawingml/2006/main">
                  <a:graphicData uri="http://schemas.microsoft.com/office/word/2010/wordprocessingShape">
                    <wps:wsp>
                      <wps:cNvSpPr>
                        <a:spLocks noChangeArrowheads="1"/>
                      </wps:cNvSpPr>
                      <wps:spPr bwMode="auto">
                        <a:xfrm>
                          <a:off x="0" y="0"/>
                          <a:ext cx="3220720" cy="1827530"/>
                        </a:xfrm>
                        <a:prstGeom prst="rect">
                          <a:avLst/>
                        </a:prstGeom>
                        <a:solidFill>
                          <a:srgbClr val="FFFFFF"/>
                        </a:solidFill>
                        <a:ln w="9525">
                          <a:solidFill>
                            <a:srgbClr val="000000"/>
                          </a:solidFill>
                          <a:miter lim="800000"/>
                        </a:ln>
                      </wps:spPr>
                      <wps:txbx>
                        <w:txbxContent>
                          <w:p/>
                          <w:p/>
                          <w:p/>
                          <w:p/>
                          <w:p/>
                          <w:p>
                            <w:pPr>
                              <w:jc w:val="center"/>
                            </w:pPr>
                            <w:r>
                              <w:rPr>
                                <w:rFonts w:hint="eastAsia"/>
                              </w:rPr>
                              <w:t>委托代理人第二代居民身份证复印件</w:t>
                            </w:r>
                          </w:p>
                          <w:p>
                            <w:pPr>
                              <w:jc w:val="center"/>
                            </w:pPr>
                            <w:r>
                              <w:rPr>
                                <w:rFonts w:hint="eastAsia"/>
                                <w:b/>
                              </w:rPr>
                              <w:t>（背面）</w:t>
                            </w:r>
                          </w:p>
                        </w:txbxContent>
                      </wps:txbx>
                      <wps:bodyPr rot="0" vert="horz" wrap="square" lIns="91440" tIns="45720" rIns="91440" bIns="45720" anchor="t" anchorCtr="0" upright="1">
                        <a:noAutofit/>
                      </wps:bodyPr>
                    </wps:wsp>
                  </a:graphicData>
                </a:graphic>
              </wp:anchor>
            </w:drawing>
          </mc:Choice>
          <mc:Fallback>
            <w:pict>
              <v:rect id="矩形 10" o:spid="_x0000_s1026" o:spt="1" style="position:absolute;left:0pt;margin-left:6.25pt;margin-top:8.3pt;height:143.9pt;width:253.6pt;mso-wrap-distance-bottom:0pt;mso-wrap-distance-left:9pt;mso-wrap-distance-right:9pt;mso-wrap-distance-top:0pt;z-index:251665408;mso-width-relative:page;mso-height-relative:page;" fillcolor="#FFFFFF" filled="t" stroked="t" coordsize="21600,21600" o:gfxdata="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ZT9mStgAAAAJAQAADwAAAAAAAAABACAAAAAiAAAAZHJzL2Rv&#10;d25yZXYueG1sUEsBAhQAFAAAAAgAh07iQKMj4FQ6AgAAfAQAAA4AAAAAAAAAAQAgAAAAJwEAAGRy&#10;cy9lMm9Eb2MueG1sUEsFBgAAAAAGAAYAWQEAANMFAAAAAA==&#10;">
                <v:fill on="t" focussize="0,0"/>
                <v:stroke color="#000000" miterlimit="8" joinstyle="miter"/>
                <v:imagedata o:title=""/>
                <o:lock v:ext="edit" aspectratio="f"/>
                <v:textbox>
                  <w:txbxContent>
                    <w:p/>
                    <w:p/>
                    <w:p/>
                    <w:p/>
                    <w:p/>
                    <w:p>
                      <w:pPr>
                        <w:jc w:val="center"/>
                      </w:pPr>
                      <w:r>
                        <w:rPr>
                          <w:rFonts w:hint="eastAsia"/>
                        </w:rPr>
                        <w:t>委托代理人第二代居民身份证复印件</w:t>
                      </w:r>
                    </w:p>
                    <w:p>
                      <w:pPr>
                        <w:jc w:val="center"/>
                      </w:pPr>
                      <w:r>
                        <w:rPr>
                          <w:rFonts w:hint="eastAsia"/>
                          <w:b/>
                        </w:rPr>
                        <w:t>（背面）</w:t>
                      </w:r>
                    </w:p>
                  </w:txbxContent>
                </v:textbox>
                <w10:wrap type="square"/>
              </v:rect>
            </w:pict>
          </mc:Fallback>
        </mc:AlternateContent>
      </w:r>
    </w:p>
    <w:p>
      <w:pPr>
        <w:pStyle w:val="23"/>
        <w:spacing w:line="440" w:lineRule="exact"/>
        <w:rPr>
          <w:rFonts w:hAnsi="宋体" w:cs="宋体"/>
          <w:color w:val="auto"/>
          <w:highlight w:val="none"/>
        </w:rPr>
      </w:pPr>
    </w:p>
    <w:p>
      <w:pPr>
        <w:pStyle w:val="23"/>
        <w:spacing w:line="440" w:lineRule="exact"/>
        <w:rPr>
          <w:rFonts w:hAnsi="宋体" w:cs="宋体"/>
          <w:color w:val="auto"/>
          <w:highlight w:val="none"/>
        </w:rPr>
      </w:pPr>
    </w:p>
    <w:p>
      <w:pPr>
        <w:pStyle w:val="23"/>
        <w:spacing w:line="440" w:lineRule="exact"/>
        <w:rPr>
          <w:rFonts w:hAnsi="宋体" w:cs="宋体"/>
          <w:color w:val="auto"/>
          <w:highlight w:val="none"/>
        </w:rPr>
      </w:pPr>
    </w:p>
    <w:p>
      <w:pPr>
        <w:pStyle w:val="23"/>
        <w:spacing w:line="440" w:lineRule="exact"/>
        <w:rPr>
          <w:rFonts w:hAnsi="宋体" w:cs="宋体"/>
          <w:color w:val="auto"/>
          <w:sz w:val="44"/>
          <w:highlight w:val="none"/>
        </w:rPr>
      </w:pPr>
    </w:p>
    <w:p>
      <w:pPr>
        <w:spacing w:line="440" w:lineRule="exact"/>
        <w:rPr>
          <w:rFonts w:ascii="宋体" w:hAnsi="宋体" w:cs="宋体"/>
          <w:b/>
          <w:color w:val="auto"/>
          <w:szCs w:val="21"/>
          <w:highlight w:val="none"/>
        </w:rPr>
      </w:pP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三、商务响应表格式</w:t>
      </w:r>
    </w:p>
    <w:p>
      <w:pPr>
        <w:spacing w:line="440" w:lineRule="exact"/>
        <w:jc w:val="center"/>
        <w:rPr>
          <w:rFonts w:ascii="宋体" w:hAnsi="宋体" w:cs="宋体"/>
          <w:b/>
          <w:bCs/>
          <w:color w:val="auto"/>
          <w:kern w:val="0"/>
          <w:sz w:val="30"/>
          <w:highlight w:val="none"/>
        </w:rPr>
      </w:pPr>
      <w:r>
        <w:rPr>
          <w:rFonts w:hint="eastAsia" w:ascii="宋体" w:hAnsi="宋体" w:cs="宋体"/>
          <w:b/>
          <w:bCs/>
          <w:color w:val="auto"/>
          <w:kern w:val="0"/>
          <w:sz w:val="30"/>
          <w:highlight w:val="none"/>
        </w:rPr>
        <w:t>商务响应表（格式）</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项目名称:</w:t>
      </w:r>
    </w:p>
    <w:p>
      <w:pPr>
        <w:snapToGrid w:val="0"/>
        <w:spacing w:before="50" w:after="50" w:line="440" w:lineRule="exact"/>
        <w:rPr>
          <w:rFonts w:ascii="宋体" w:hAnsi="宋体" w:cs="宋体"/>
          <w:color w:val="auto"/>
          <w:highlight w:val="none"/>
          <w:u w:val="single"/>
        </w:rPr>
      </w:pPr>
      <w:r>
        <w:rPr>
          <w:rFonts w:hint="eastAsia" w:ascii="宋体" w:hAnsi="宋体" w:cs="宋体"/>
          <w:color w:val="auto"/>
          <w:szCs w:val="21"/>
          <w:highlight w:val="none"/>
        </w:rPr>
        <w:t>项目编号:</w:t>
      </w:r>
    </w:p>
    <w:p>
      <w:pPr>
        <w:snapToGrid w:val="0"/>
        <w:spacing w:before="50" w:after="50" w:line="440" w:lineRule="exact"/>
        <w:rPr>
          <w:rFonts w:ascii="宋体" w:hAnsi="宋体" w:cs="宋体"/>
          <w:color w:val="auto"/>
          <w:highlight w:val="none"/>
        </w:rPr>
      </w:pPr>
      <w:r>
        <w:rPr>
          <w:rFonts w:hint="eastAsia" w:ascii="宋体" w:hAnsi="宋体" w:cs="宋体"/>
          <w:color w:val="auto"/>
          <w:highlight w:val="none"/>
        </w:rPr>
        <w:t>分标号：</w:t>
      </w:r>
    </w:p>
    <w:tbl>
      <w:tblPr>
        <w:tblStyle w:val="41"/>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977"/>
        <w:gridCol w:w="1275"/>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center"/>
              <w:rPr>
                <w:rFonts w:hAnsi="宋体" w:cs="宋体"/>
                <w:color w:val="auto"/>
                <w:sz w:val="24"/>
                <w:szCs w:val="24"/>
                <w:highlight w:val="none"/>
              </w:rPr>
            </w:pPr>
            <w:r>
              <w:rPr>
                <w:rFonts w:hint="eastAsia" w:hAnsi="宋体" w:cs="宋体"/>
                <w:color w:val="auto"/>
                <w:sz w:val="24"/>
                <w:szCs w:val="24"/>
                <w:highlight w:val="none"/>
              </w:rPr>
              <w:t>项目</w:t>
            </w:r>
          </w:p>
        </w:tc>
        <w:tc>
          <w:tcPr>
            <w:tcW w:w="2977"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center"/>
              <w:rPr>
                <w:rFonts w:hAnsi="宋体" w:cs="宋体"/>
                <w:color w:val="auto"/>
                <w:sz w:val="24"/>
                <w:szCs w:val="24"/>
                <w:highlight w:val="none"/>
              </w:rPr>
            </w:pPr>
            <w:r>
              <w:rPr>
                <w:rFonts w:hint="eastAsia" w:hAnsi="宋体" w:cs="宋体"/>
                <w:color w:val="auto"/>
                <w:sz w:val="24"/>
                <w:szCs w:val="24"/>
                <w:highlight w:val="none"/>
              </w:rPr>
              <w:t>磋商文件的商务条款</w:t>
            </w:r>
          </w:p>
        </w:tc>
        <w:tc>
          <w:tcPr>
            <w:tcW w:w="1275"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center"/>
              <w:rPr>
                <w:rFonts w:hAnsi="宋体" w:cs="宋体"/>
                <w:color w:val="auto"/>
                <w:sz w:val="24"/>
                <w:szCs w:val="24"/>
                <w:highlight w:val="none"/>
              </w:rPr>
            </w:pPr>
            <w:r>
              <w:rPr>
                <w:rFonts w:hint="eastAsia" w:hAnsi="宋体" w:cs="宋体"/>
                <w:color w:val="auto"/>
                <w:sz w:val="24"/>
                <w:szCs w:val="24"/>
                <w:highlight w:val="none"/>
              </w:rPr>
              <w:t>是否响应</w:t>
            </w:r>
          </w:p>
        </w:tc>
        <w:tc>
          <w:tcPr>
            <w:tcW w:w="3119"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center"/>
              <w:rPr>
                <w:rFonts w:hAnsi="宋体" w:cs="宋体"/>
                <w:color w:val="auto"/>
                <w:sz w:val="24"/>
                <w:szCs w:val="24"/>
                <w:highlight w:val="none"/>
              </w:rPr>
            </w:pPr>
            <w:r>
              <w:rPr>
                <w:rFonts w:hint="eastAsia" w:hAnsi="宋体" w:cs="宋体"/>
                <w:color w:val="auto"/>
                <w:sz w:val="24"/>
                <w:szCs w:val="24"/>
                <w:highlight w:val="none"/>
              </w:rPr>
              <w:t>响应文件的承诺或说明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center"/>
              <w:rPr>
                <w:rFonts w:hAnsi="宋体" w:cs="宋体"/>
                <w:color w:val="auto"/>
                <w:sz w:val="21"/>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left"/>
              <w:rPr>
                <w:rFonts w:hAnsi="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left"/>
              <w:rPr>
                <w:rFonts w:hAnsi="宋体" w:cs="宋体"/>
                <w:color w:val="auto"/>
                <w:sz w:val="24"/>
                <w:szCs w:val="24"/>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left"/>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center"/>
              <w:rPr>
                <w:rFonts w:hAnsi="宋体" w:cs="宋体"/>
                <w:color w:val="auto"/>
                <w:sz w:val="21"/>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left"/>
              <w:rPr>
                <w:rFonts w:hAnsi="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left"/>
              <w:rPr>
                <w:rFonts w:hAnsi="宋体" w:cs="宋体"/>
                <w:color w:val="auto"/>
                <w:sz w:val="24"/>
                <w:szCs w:val="24"/>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left"/>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center"/>
              <w:rPr>
                <w:rFonts w:hAnsi="宋体" w:cs="宋体"/>
                <w:color w:val="auto"/>
                <w:sz w:val="21"/>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left"/>
              <w:rPr>
                <w:rFonts w:hAnsi="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left"/>
              <w:rPr>
                <w:rFonts w:hAnsi="宋体" w:cs="宋体"/>
                <w:color w:val="auto"/>
                <w:sz w:val="24"/>
                <w:szCs w:val="24"/>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left"/>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center"/>
              <w:rPr>
                <w:rFonts w:hAnsi="宋体" w:cs="宋体"/>
                <w:color w:val="auto"/>
                <w:sz w:val="21"/>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left"/>
              <w:rPr>
                <w:rFonts w:hAnsi="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left"/>
              <w:rPr>
                <w:rFonts w:hAnsi="宋体" w:cs="宋体"/>
                <w:color w:val="auto"/>
                <w:sz w:val="24"/>
                <w:szCs w:val="24"/>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left"/>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center"/>
              <w:rPr>
                <w:rFonts w:hAnsi="宋体" w:cs="宋体"/>
                <w:color w:val="auto"/>
                <w:sz w:val="24"/>
                <w:szCs w:val="24"/>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left"/>
              <w:rPr>
                <w:rFonts w:hAnsi="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left"/>
              <w:rPr>
                <w:rFonts w:hAnsi="宋体" w:cs="宋体"/>
                <w:color w:val="auto"/>
                <w:sz w:val="24"/>
                <w:szCs w:val="24"/>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left"/>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w:t>
            </w:r>
          </w:p>
        </w:tc>
        <w:tc>
          <w:tcPr>
            <w:tcW w:w="2977"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left"/>
              <w:rPr>
                <w:rFonts w:hAnsi="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left"/>
              <w:rPr>
                <w:rFonts w:hAnsi="宋体" w:cs="宋体"/>
                <w:color w:val="auto"/>
                <w:sz w:val="24"/>
                <w:szCs w:val="24"/>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left"/>
              <w:rPr>
                <w:rFonts w:hAnsi="宋体" w:cs="宋体"/>
                <w:color w:val="auto"/>
                <w:sz w:val="24"/>
                <w:szCs w:val="24"/>
                <w:highlight w:val="none"/>
              </w:rPr>
            </w:pPr>
          </w:p>
        </w:tc>
      </w:tr>
    </w:tbl>
    <w:p>
      <w:pPr>
        <w:spacing w:line="440" w:lineRule="exact"/>
        <w:rPr>
          <w:rFonts w:ascii="宋体" w:hAnsi="宋体" w:cs="宋体"/>
          <w:b/>
          <w:color w:val="auto"/>
          <w:szCs w:val="21"/>
          <w:highlight w:val="none"/>
        </w:rPr>
      </w:pPr>
    </w:p>
    <w:p>
      <w:pPr>
        <w:spacing w:line="440" w:lineRule="exact"/>
        <w:rPr>
          <w:rFonts w:ascii="宋体" w:hAnsi="宋体" w:cs="宋体"/>
          <w:b/>
          <w:color w:val="auto"/>
          <w:szCs w:val="21"/>
          <w:highlight w:val="none"/>
        </w:rPr>
      </w:pPr>
    </w:p>
    <w:p>
      <w:pPr>
        <w:spacing w:line="440" w:lineRule="exact"/>
        <w:rPr>
          <w:rFonts w:ascii="宋体" w:hAnsi="宋体" w:cs="宋体"/>
          <w:b/>
          <w:color w:val="auto"/>
          <w:szCs w:val="21"/>
          <w:highlight w:val="none"/>
        </w:rPr>
      </w:pPr>
    </w:p>
    <w:p>
      <w:pPr>
        <w:spacing w:line="440" w:lineRule="exact"/>
        <w:rPr>
          <w:rFonts w:ascii="宋体" w:hAnsi="宋体" w:cs="宋体"/>
          <w:b/>
          <w:color w:val="auto"/>
          <w:szCs w:val="21"/>
          <w:highlight w:val="none"/>
        </w:rPr>
      </w:pPr>
    </w:p>
    <w:p>
      <w:pPr>
        <w:spacing w:line="440" w:lineRule="exact"/>
        <w:rPr>
          <w:rFonts w:ascii="宋体" w:hAnsi="宋体" w:cs="宋体"/>
          <w:b/>
          <w:color w:val="auto"/>
          <w:szCs w:val="21"/>
          <w:highlight w:val="none"/>
        </w:rPr>
      </w:pPr>
    </w:p>
    <w:p>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pPr>
        <w:spacing w:line="44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pPr>
        <w:spacing w:line="440" w:lineRule="exact"/>
        <w:rPr>
          <w:rFonts w:ascii="宋体" w:hAnsi="宋体" w:cs="宋体"/>
          <w:b/>
          <w:color w:val="auto"/>
          <w:szCs w:val="21"/>
          <w:highlight w:val="none"/>
        </w:rPr>
      </w:pPr>
    </w:p>
    <w:p>
      <w:pPr>
        <w:spacing w:line="440" w:lineRule="exact"/>
        <w:rPr>
          <w:rFonts w:ascii="宋体" w:hAnsi="宋体" w:cs="宋体"/>
          <w:b/>
          <w:color w:val="auto"/>
          <w:szCs w:val="21"/>
          <w:highlight w:val="none"/>
        </w:rPr>
      </w:pPr>
    </w:p>
    <w:p>
      <w:pPr>
        <w:spacing w:line="440" w:lineRule="exact"/>
        <w:rPr>
          <w:rFonts w:ascii="宋体" w:hAnsi="宋体" w:cs="宋体"/>
          <w:b/>
          <w:color w:val="auto"/>
          <w:szCs w:val="21"/>
          <w:highlight w:val="none"/>
        </w:rPr>
      </w:pPr>
    </w:p>
    <w:p>
      <w:pPr>
        <w:spacing w:line="440" w:lineRule="exact"/>
        <w:rPr>
          <w:rFonts w:ascii="宋体" w:hAnsi="宋体" w:cs="宋体"/>
          <w:b/>
          <w:color w:val="auto"/>
          <w:szCs w:val="21"/>
          <w:highlight w:val="none"/>
        </w:rPr>
      </w:pPr>
    </w:p>
    <w:p>
      <w:pPr>
        <w:spacing w:line="440" w:lineRule="exact"/>
        <w:rPr>
          <w:rFonts w:ascii="宋体" w:hAnsi="宋体" w:cs="宋体"/>
          <w:b/>
          <w:color w:val="auto"/>
          <w:szCs w:val="21"/>
          <w:highlight w:val="none"/>
        </w:rPr>
      </w:pPr>
    </w:p>
    <w:p>
      <w:pPr>
        <w:spacing w:line="440" w:lineRule="exact"/>
        <w:rPr>
          <w:rFonts w:ascii="宋体" w:hAnsi="宋体" w:cs="宋体"/>
          <w:b/>
          <w:color w:val="auto"/>
          <w:szCs w:val="21"/>
          <w:highlight w:val="none"/>
        </w:rPr>
      </w:pPr>
    </w:p>
    <w:p>
      <w:pPr>
        <w:spacing w:line="440" w:lineRule="exact"/>
        <w:rPr>
          <w:rFonts w:ascii="宋体" w:hAnsi="宋体" w:cs="宋体"/>
          <w:b/>
          <w:color w:val="auto"/>
          <w:szCs w:val="21"/>
          <w:highlight w:val="none"/>
        </w:rPr>
      </w:pPr>
    </w:p>
    <w:p>
      <w:pPr>
        <w:spacing w:line="440" w:lineRule="exact"/>
        <w:rPr>
          <w:rFonts w:ascii="宋体" w:hAnsi="宋体" w:cs="宋体"/>
          <w:b/>
          <w:color w:val="auto"/>
          <w:szCs w:val="21"/>
          <w:highlight w:val="none"/>
        </w:rPr>
      </w:pP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四、技术响应表格式</w:t>
      </w:r>
    </w:p>
    <w:p>
      <w:pPr>
        <w:spacing w:line="440" w:lineRule="exact"/>
        <w:jc w:val="center"/>
        <w:rPr>
          <w:rFonts w:ascii="宋体" w:hAnsi="宋体" w:cs="宋体"/>
          <w:b/>
          <w:bCs/>
          <w:color w:val="auto"/>
          <w:kern w:val="0"/>
          <w:sz w:val="30"/>
          <w:highlight w:val="none"/>
        </w:rPr>
      </w:pPr>
      <w:r>
        <w:rPr>
          <w:rFonts w:hint="eastAsia" w:ascii="宋体" w:hAnsi="宋体" w:cs="宋体"/>
          <w:b/>
          <w:bCs/>
          <w:color w:val="auto"/>
          <w:kern w:val="0"/>
          <w:sz w:val="30"/>
          <w:highlight w:val="none"/>
        </w:rPr>
        <w:t>技术响应表（格式）</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项目名称:</w:t>
      </w:r>
    </w:p>
    <w:p>
      <w:pPr>
        <w:snapToGrid w:val="0"/>
        <w:spacing w:before="50" w:after="50" w:line="440" w:lineRule="exact"/>
        <w:rPr>
          <w:rFonts w:ascii="宋体" w:hAnsi="宋体" w:cs="宋体"/>
          <w:color w:val="auto"/>
          <w:highlight w:val="none"/>
          <w:u w:val="single"/>
        </w:rPr>
      </w:pPr>
      <w:r>
        <w:rPr>
          <w:rFonts w:hint="eastAsia" w:ascii="宋体" w:hAnsi="宋体" w:cs="宋体"/>
          <w:color w:val="auto"/>
          <w:szCs w:val="21"/>
          <w:highlight w:val="none"/>
        </w:rPr>
        <w:t>项目编号:</w:t>
      </w:r>
    </w:p>
    <w:p>
      <w:pPr>
        <w:snapToGrid w:val="0"/>
        <w:spacing w:before="50" w:after="50" w:line="440" w:lineRule="exact"/>
        <w:rPr>
          <w:rFonts w:ascii="宋体" w:hAnsi="宋体" w:cs="宋体"/>
          <w:color w:val="auto"/>
          <w:highlight w:val="none"/>
        </w:rPr>
      </w:pPr>
      <w:r>
        <w:rPr>
          <w:rFonts w:hint="eastAsia" w:ascii="宋体" w:hAnsi="宋体" w:cs="宋体"/>
          <w:color w:val="auto"/>
          <w:highlight w:val="none"/>
        </w:rPr>
        <w:t>分标号：</w:t>
      </w:r>
    </w:p>
    <w:tbl>
      <w:tblPr>
        <w:tblStyle w:val="41"/>
        <w:tblW w:w="8970"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7"/>
        <w:gridCol w:w="1364"/>
        <w:gridCol w:w="1681"/>
        <w:gridCol w:w="2120"/>
        <w:gridCol w:w="29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4" w:hRule="exact"/>
        </w:trPr>
        <w:tc>
          <w:tcPr>
            <w:tcW w:w="827" w:type="dxa"/>
            <w:tcBorders>
              <w:top w:val="single" w:color="000000" w:sz="4" w:space="0"/>
              <w:left w:val="single" w:color="000000" w:sz="4" w:space="0"/>
              <w:bottom w:val="single" w:color="000000" w:sz="4" w:space="0"/>
              <w:right w:val="single" w:color="000000" w:sz="4" w:space="0"/>
            </w:tcBorders>
            <w:vAlign w:val="center"/>
          </w:tcPr>
          <w:p>
            <w:pPr>
              <w:pStyle w:val="207"/>
              <w:spacing w:line="440" w:lineRule="exact"/>
              <w:ind w:left="174" w:right="181"/>
              <w:jc w:val="center"/>
              <w:rPr>
                <w:color w:val="auto"/>
                <w:kern w:val="2"/>
                <w:sz w:val="21"/>
                <w:highlight w:val="none"/>
              </w:rPr>
            </w:pPr>
            <w:r>
              <w:rPr>
                <w:rFonts w:hint="eastAsia"/>
                <w:color w:val="auto"/>
                <w:kern w:val="2"/>
                <w:sz w:val="21"/>
                <w:highlight w:val="none"/>
              </w:rPr>
              <w:t>项号</w:t>
            </w:r>
          </w:p>
        </w:tc>
        <w:tc>
          <w:tcPr>
            <w:tcW w:w="1364" w:type="dxa"/>
            <w:tcBorders>
              <w:top w:val="single" w:color="000000" w:sz="4" w:space="0"/>
              <w:left w:val="single" w:color="000000" w:sz="4" w:space="0"/>
              <w:bottom w:val="single" w:color="000000" w:sz="4" w:space="0"/>
              <w:right w:val="single" w:color="000000" w:sz="4" w:space="0"/>
            </w:tcBorders>
            <w:vAlign w:val="center"/>
          </w:tcPr>
          <w:p>
            <w:pPr>
              <w:pStyle w:val="207"/>
              <w:spacing w:line="440" w:lineRule="exact"/>
              <w:ind w:left="254" w:right="0"/>
              <w:rPr>
                <w:color w:val="auto"/>
                <w:kern w:val="2"/>
                <w:sz w:val="21"/>
                <w:highlight w:val="none"/>
                <w:lang w:eastAsia="zh-CN"/>
              </w:rPr>
            </w:pPr>
            <w:r>
              <w:rPr>
                <w:rFonts w:hint="eastAsia"/>
                <w:color w:val="auto"/>
                <w:kern w:val="2"/>
                <w:sz w:val="21"/>
                <w:highlight w:val="none"/>
                <w:lang w:eastAsia="zh-CN"/>
              </w:rPr>
              <w:t>标的</w:t>
            </w:r>
            <w:r>
              <w:rPr>
                <w:rFonts w:hint="eastAsia"/>
                <w:color w:val="auto"/>
                <w:kern w:val="2"/>
                <w:sz w:val="21"/>
                <w:highlight w:val="none"/>
              </w:rPr>
              <w:t>名称</w:t>
            </w:r>
          </w:p>
        </w:tc>
        <w:tc>
          <w:tcPr>
            <w:tcW w:w="1681" w:type="dxa"/>
            <w:tcBorders>
              <w:top w:val="single" w:color="000000" w:sz="4" w:space="0"/>
              <w:left w:val="single" w:color="000000" w:sz="4" w:space="0"/>
              <w:bottom w:val="single" w:color="000000" w:sz="4" w:space="0"/>
              <w:right w:val="single" w:color="auto" w:sz="4" w:space="0"/>
            </w:tcBorders>
            <w:vAlign w:val="center"/>
          </w:tcPr>
          <w:p>
            <w:pPr>
              <w:snapToGrid w:val="0"/>
              <w:spacing w:before="120" w:beforeLines="50" w:line="440" w:lineRule="exact"/>
              <w:jc w:val="center"/>
              <w:rPr>
                <w:rFonts w:ascii="宋体" w:hAnsi="宋体" w:cs="宋体"/>
                <w:color w:val="auto"/>
                <w:szCs w:val="21"/>
                <w:highlight w:val="none"/>
              </w:rPr>
            </w:pPr>
            <w:r>
              <w:rPr>
                <w:rFonts w:hint="eastAsia" w:ascii="宋体" w:hAnsi="宋体" w:cs="宋体"/>
                <w:color w:val="auto"/>
                <w:szCs w:val="21"/>
                <w:highlight w:val="none"/>
              </w:rPr>
              <w:t>招标文件要求</w:t>
            </w:r>
          </w:p>
        </w:tc>
        <w:tc>
          <w:tcPr>
            <w:tcW w:w="2120" w:type="dxa"/>
            <w:tcBorders>
              <w:top w:val="single" w:color="000000" w:sz="4" w:space="0"/>
              <w:left w:val="single" w:color="auto" w:sz="4" w:space="0"/>
              <w:bottom w:val="single" w:color="000000" w:sz="4" w:space="0"/>
              <w:right w:val="single" w:color="000000" w:sz="4" w:space="0"/>
            </w:tcBorders>
            <w:vAlign w:val="center"/>
          </w:tcPr>
          <w:p>
            <w:pPr>
              <w:snapToGrid w:val="0"/>
              <w:spacing w:before="120" w:beforeLines="50" w:line="440" w:lineRule="exact"/>
              <w:jc w:val="center"/>
              <w:rPr>
                <w:rFonts w:ascii="宋体" w:hAnsi="宋体" w:cs="宋体"/>
                <w:color w:val="auto"/>
                <w:szCs w:val="21"/>
                <w:highlight w:val="none"/>
              </w:rPr>
            </w:pPr>
            <w:r>
              <w:rPr>
                <w:rFonts w:hint="eastAsia" w:ascii="宋体" w:hAnsi="宋体" w:cs="宋体"/>
                <w:color w:val="auto"/>
                <w:szCs w:val="21"/>
                <w:highlight w:val="none"/>
              </w:rPr>
              <w:t>响应文件响应</w:t>
            </w:r>
          </w:p>
        </w:tc>
        <w:tc>
          <w:tcPr>
            <w:tcW w:w="2978" w:type="dxa"/>
            <w:tcBorders>
              <w:top w:val="single" w:color="000000" w:sz="4" w:space="0"/>
              <w:left w:val="single" w:color="000000" w:sz="4" w:space="0"/>
              <w:bottom w:val="single" w:color="000000" w:sz="4" w:space="0"/>
              <w:right w:val="single" w:color="000000" w:sz="4" w:space="0"/>
            </w:tcBorders>
            <w:vAlign w:val="center"/>
          </w:tcPr>
          <w:p>
            <w:pPr>
              <w:pStyle w:val="207"/>
              <w:spacing w:line="440" w:lineRule="exact"/>
              <w:ind w:left="-2" w:leftChars="-1" w:right="131"/>
              <w:jc w:val="center"/>
              <w:rPr>
                <w:color w:val="auto"/>
                <w:kern w:val="2"/>
                <w:sz w:val="21"/>
                <w:highlight w:val="none"/>
              </w:rPr>
            </w:pPr>
            <w:r>
              <w:rPr>
                <w:rFonts w:hint="eastAsia"/>
                <w:color w:val="auto"/>
                <w:kern w:val="2"/>
                <w:sz w:val="21"/>
                <w:highlight w:val="none"/>
              </w:rPr>
              <w:t>偏离情况说明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trPr>
        <w:tc>
          <w:tcPr>
            <w:tcW w:w="827" w:type="dxa"/>
            <w:tcBorders>
              <w:top w:val="single" w:color="000000" w:sz="4" w:space="0"/>
              <w:left w:val="single" w:color="000000" w:sz="4" w:space="0"/>
              <w:bottom w:val="single" w:color="000000" w:sz="4" w:space="0"/>
              <w:right w:val="single" w:color="000000" w:sz="4" w:space="0"/>
            </w:tcBorders>
          </w:tcPr>
          <w:p>
            <w:pPr>
              <w:pStyle w:val="207"/>
              <w:spacing w:before="167" w:line="440" w:lineRule="exact"/>
              <w:ind w:left="0" w:right="7"/>
              <w:jc w:val="center"/>
              <w:rPr>
                <w:color w:val="auto"/>
                <w:kern w:val="2"/>
                <w:sz w:val="21"/>
                <w:highlight w:val="none"/>
              </w:rPr>
            </w:pPr>
            <w:r>
              <w:rPr>
                <w:rFonts w:hint="eastAsia"/>
                <w:color w:val="auto"/>
                <w:kern w:val="2"/>
                <w:sz w:val="21"/>
                <w:highlight w:val="none"/>
              </w:rPr>
              <w:t>1</w:t>
            </w:r>
          </w:p>
        </w:tc>
        <w:tc>
          <w:tcPr>
            <w:tcW w:w="1364" w:type="dxa"/>
            <w:tcBorders>
              <w:top w:val="single" w:color="000000" w:sz="4" w:space="0"/>
              <w:left w:val="single" w:color="000000" w:sz="4" w:space="0"/>
              <w:bottom w:val="single" w:color="000000" w:sz="4" w:space="0"/>
              <w:right w:val="single" w:color="000000" w:sz="4" w:space="0"/>
            </w:tcBorders>
          </w:tcPr>
          <w:p>
            <w:pPr>
              <w:spacing w:line="440" w:lineRule="exact"/>
              <w:rPr>
                <w:rFonts w:ascii="宋体" w:hAnsi="宋体" w:cs="宋体"/>
                <w:color w:val="auto"/>
                <w:highlight w:val="none"/>
              </w:rPr>
            </w:pPr>
          </w:p>
        </w:tc>
        <w:tc>
          <w:tcPr>
            <w:tcW w:w="1681" w:type="dxa"/>
            <w:tcBorders>
              <w:top w:val="single" w:color="000000" w:sz="4" w:space="0"/>
              <w:left w:val="single" w:color="000000" w:sz="4" w:space="0"/>
              <w:bottom w:val="single" w:color="000000" w:sz="4" w:space="0"/>
              <w:right w:val="single" w:color="auto" w:sz="4" w:space="0"/>
            </w:tcBorders>
          </w:tcPr>
          <w:p>
            <w:pPr>
              <w:spacing w:line="440" w:lineRule="exact"/>
              <w:rPr>
                <w:rFonts w:ascii="宋体" w:hAnsi="宋体" w:cs="宋体"/>
                <w:color w:val="auto"/>
                <w:highlight w:val="none"/>
              </w:rPr>
            </w:pPr>
          </w:p>
        </w:tc>
        <w:tc>
          <w:tcPr>
            <w:tcW w:w="2120" w:type="dxa"/>
            <w:tcBorders>
              <w:top w:val="single" w:color="000000" w:sz="4" w:space="0"/>
              <w:left w:val="single" w:color="auto" w:sz="4" w:space="0"/>
              <w:bottom w:val="single" w:color="000000" w:sz="4" w:space="0"/>
              <w:right w:val="single" w:color="000000" w:sz="4" w:space="0"/>
            </w:tcBorders>
          </w:tcPr>
          <w:p>
            <w:pPr>
              <w:spacing w:line="440" w:lineRule="exact"/>
              <w:rPr>
                <w:rFonts w:ascii="宋体" w:hAnsi="宋体" w:cs="宋体"/>
                <w:color w:val="auto"/>
                <w:highlight w:val="none"/>
              </w:rPr>
            </w:pPr>
          </w:p>
        </w:tc>
        <w:tc>
          <w:tcPr>
            <w:tcW w:w="2978" w:type="dxa"/>
            <w:tcBorders>
              <w:top w:val="single" w:color="000000" w:sz="4" w:space="0"/>
              <w:left w:val="single" w:color="000000" w:sz="4" w:space="0"/>
              <w:bottom w:val="single" w:color="000000" w:sz="4" w:space="0"/>
              <w:right w:val="single" w:color="000000" w:sz="4" w:space="0"/>
            </w:tcBorders>
          </w:tcPr>
          <w:p>
            <w:pPr>
              <w:spacing w:line="440" w:lineRule="exact"/>
              <w:rPr>
                <w:rFonts w:ascii="宋体" w:hAnsi="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exact"/>
        </w:trPr>
        <w:tc>
          <w:tcPr>
            <w:tcW w:w="827" w:type="dxa"/>
            <w:tcBorders>
              <w:top w:val="single" w:color="000000" w:sz="4" w:space="0"/>
              <w:left w:val="single" w:color="000000" w:sz="4" w:space="0"/>
              <w:bottom w:val="single" w:color="000000" w:sz="4" w:space="0"/>
              <w:right w:val="single" w:color="000000" w:sz="4" w:space="0"/>
            </w:tcBorders>
          </w:tcPr>
          <w:p>
            <w:pPr>
              <w:pStyle w:val="207"/>
              <w:spacing w:before="167" w:line="440" w:lineRule="exact"/>
              <w:ind w:left="0" w:right="7"/>
              <w:jc w:val="center"/>
              <w:rPr>
                <w:color w:val="auto"/>
                <w:kern w:val="2"/>
                <w:sz w:val="21"/>
                <w:highlight w:val="none"/>
              </w:rPr>
            </w:pPr>
            <w:r>
              <w:rPr>
                <w:rFonts w:hint="eastAsia"/>
                <w:color w:val="auto"/>
                <w:kern w:val="2"/>
                <w:sz w:val="21"/>
                <w:highlight w:val="none"/>
              </w:rPr>
              <w:t>2</w:t>
            </w:r>
          </w:p>
        </w:tc>
        <w:tc>
          <w:tcPr>
            <w:tcW w:w="1364" w:type="dxa"/>
            <w:tcBorders>
              <w:top w:val="single" w:color="000000" w:sz="4" w:space="0"/>
              <w:left w:val="single" w:color="000000" w:sz="4" w:space="0"/>
              <w:bottom w:val="single" w:color="000000" w:sz="4" w:space="0"/>
              <w:right w:val="single" w:color="000000" w:sz="4" w:space="0"/>
            </w:tcBorders>
          </w:tcPr>
          <w:p>
            <w:pPr>
              <w:spacing w:line="440" w:lineRule="exact"/>
              <w:rPr>
                <w:rFonts w:ascii="宋体" w:hAnsi="宋体" w:cs="宋体"/>
                <w:color w:val="auto"/>
                <w:highlight w:val="none"/>
              </w:rPr>
            </w:pPr>
          </w:p>
        </w:tc>
        <w:tc>
          <w:tcPr>
            <w:tcW w:w="1681" w:type="dxa"/>
            <w:tcBorders>
              <w:top w:val="single" w:color="000000" w:sz="4" w:space="0"/>
              <w:left w:val="single" w:color="000000" w:sz="4" w:space="0"/>
              <w:bottom w:val="single" w:color="000000" w:sz="4" w:space="0"/>
              <w:right w:val="single" w:color="auto" w:sz="4" w:space="0"/>
            </w:tcBorders>
          </w:tcPr>
          <w:p>
            <w:pPr>
              <w:spacing w:line="440" w:lineRule="exact"/>
              <w:rPr>
                <w:rFonts w:ascii="宋体" w:hAnsi="宋体" w:cs="宋体"/>
                <w:color w:val="auto"/>
                <w:highlight w:val="none"/>
              </w:rPr>
            </w:pPr>
          </w:p>
        </w:tc>
        <w:tc>
          <w:tcPr>
            <w:tcW w:w="2120" w:type="dxa"/>
            <w:tcBorders>
              <w:top w:val="single" w:color="000000" w:sz="4" w:space="0"/>
              <w:left w:val="single" w:color="auto" w:sz="4" w:space="0"/>
              <w:bottom w:val="single" w:color="000000" w:sz="4" w:space="0"/>
              <w:right w:val="single" w:color="000000" w:sz="4" w:space="0"/>
            </w:tcBorders>
          </w:tcPr>
          <w:p>
            <w:pPr>
              <w:spacing w:line="440" w:lineRule="exact"/>
              <w:rPr>
                <w:rFonts w:ascii="宋体" w:hAnsi="宋体" w:cs="宋体"/>
                <w:color w:val="auto"/>
                <w:highlight w:val="none"/>
              </w:rPr>
            </w:pPr>
          </w:p>
        </w:tc>
        <w:tc>
          <w:tcPr>
            <w:tcW w:w="2978" w:type="dxa"/>
            <w:tcBorders>
              <w:top w:val="single" w:color="000000" w:sz="4" w:space="0"/>
              <w:left w:val="single" w:color="000000" w:sz="4" w:space="0"/>
              <w:bottom w:val="single" w:color="000000" w:sz="4" w:space="0"/>
              <w:right w:val="single" w:color="000000" w:sz="4" w:space="0"/>
            </w:tcBorders>
          </w:tcPr>
          <w:p>
            <w:pPr>
              <w:spacing w:line="440" w:lineRule="exact"/>
              <w:rPr>
                <w:rFonts w:ascii="宋体" w:hAnsi="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exact"/>
        </w:trPr>
        <w:tc>
          <w:tcPr>
            <w:tcW w:w="827" w:type="dxa"/>
            <w:tcBorders>
              <w:top w:val="single" w:color="000000" w:sz="4" w:space="0"/>
              <w:left w:val="single" w:color="000000" w:sz="4" w:space="0"/>
              <w:bottom w:val="single" w:color="000000" w:sz="4" w:space="0"/>
              <w:right w:val="single" w:color="000000" w:sz="4" w:space="0"/>
            </w:tcBorders>
          </w:tcPr>
          <w:p>
            <w:pPr>
              <w:pStyle w:val="207"/>
              <w:spacing w:before="177" w:line="440" w:lineRule="exact"/>
              <w:ind w:left="0" w:right="7"/>
              <w:jc w:val="center"/>
              <w:rPr>
                <w:color w:val="auto"/>
                <w:kern w:val="2"/>
                <w:sz w:val="21"/>
                <w:highlight w:val="none"/>
              </w:rPr>
            </w:pPr>
            <w:r>
              <w:rPr>
                <w:rFonts w:hint="eastAsia"/>
                <w:color w:val="auto"/>
                <w:kern w:val="2"/>
                <w:sz w:val="21"/>
                <w:highlight w:val="none"/>
              </w:rPr>
              <w:t>…</w:t>
            </w:r>
          </w:p>
        </w:tc>
        <w:tc>
          <w:tcPr>
            <w:tcW w:w="1364" w:type="dxa"/>
            <w:tcBorders>
              <w:top w:val="single" w:color="000000" w:sz="4" w:space="0"/>
              <w:left w:val="single" w:color="000000" w:sz="4" w:space="0"/>
              <w:bottom w:val="single" w:color="000000" w:sz="4" w:space="0"/>
              <w:right w:val="single" w:color="000000" w:sz="4" w:space="0"/>
            </w:tcBorders>
          </w:tcPr>
          <w:p>
            <w:pPr>
              <w:spacing w:line="440" w:lineRule="exact"/>
              <w:rPr>
                <w:rFonts w:ascii="宋体" w:hAnsi="宋体" w:cs="宋体"/>
                <w:color w:val="auto"/>
                <w:highlight w:val="none"/>
              </w:rPr>
            </w:pPr>
          </w:p>
        </w:tc>
        <w:tc>
          <w:tcPr>
            <w:tcW w:w="1681" w:type="dxa"/>
            <w:tcBorders>
              <w:top w:val="single" w:color="000000" w:sz="4" w:space="0"/>
              <w:left w:val="single" w:color="000000" w:sz="4" w:space="0"/>
              <w:bottom w:val="single" w:color="000000" w:sz="4" w:space="0"/>
              <w:right w:val="single" w:color="auto" w:sz="4" w:space="0"/>
            </w:tcBorders>
          </w:tcPr>
          <w:p>
            <w:pPr>
              <w:spacing w:line="440" w:lineRule="exact"/>
              <w:rPr>
                <w:rFonts w:ascii="宋体" w:hAnsi="宋体" w:cs="宋体"/>
                <w:color w:val="auto"/>
                <w:highlight w:val="none"/>
              </w:rPr>
            </w:pPr>
          </w:p>
        </w:tc>
        <w:tc>
          <w:tcPr>
            <w:tcW w:w="2120" w:type="dxa"/>
            <w:tcBorders>
              <w:top w:val="single" w:color="000000" w:sz="4" w:space="0"/>
              <w:left w:val="single" w:color="auto" w:sz="4" w:space="0"/>
              <w:bottom w:val="single" w:color="000000" w:sz="4" w:space="0"/>
              <w:right w:val="single" w:color="000000" w:sz="4" w:space="0"/>
            </w:tcBorders>
          </w:tcPr>
          <w:p>
            <w:pPr>
              <w:spacing w:line="440" w:lineRule="exact"/>
              <w:rPr>
                <w:rFonts w:ascii="宋体" w:hAnsi="宋体" w:cs="宋体"/>
                <w:color w:val="auto"/>
                <w:highlight w:val="none"/>
              </w:rPr>
            </w:pPr>
          </w:p>
        </w:tc>
        <w:tc>
          <w:tcPr>
            <w:tcW w:w="2978" w:type="dxa"/>
            <w:tcBorders>
              <w:top w:val="single" w:color="000000" w:sz="4" w:space="0"/>
              <w:left w:val="single" w:color="000000" w:sz="4" w:space="0"/>
              <w:bottom w:val="single" w:color="000000" w:sz="4" w:space="0"/>
              <w:right w:val="single" w:color="000000" w:sz="4" w:space="0"/>
            </w:tcBorders>
          </w:tcPr>
          <w:p>
            <w:pPr>
              <w:spacing w:line="440" w:lineRule="exact"/>
              <w:rPr>
                <w:rFonts w:ascii="宋体" w:hAnsi="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trPr>
        <w:tc>
          <w:tcPr>
            <w:tcW w:w="827" w:type="dxa"/>
            <w:tcBorders>
              <w:top w:val="single" w:color="000000" w:sz="4" w:space="0"/>
              <w:left w:val="single" w:color="000000" w:sz="4" w:space="0"/>
              <w:bottom w:val="single" w:color="000000" w:sz="4" w:space="0"/>
              <w:right w:val="single" w:color="000000" w:sz="4" w:space="0"/>
            </w:tcBorders>
          </w:tcPr>
          <w:p>
            <w:pPr>
              <w:pStyle w:val="207"/>
              <w:spacing w:before="167" w:line="440" w:lineRule="exact"/>
              <w:ind w:left="0" w:right="7"/>
              <w:jc w:val="center"/>
              <w:rPr>
                <w:color w:val="auto"/>
                <w:kern w:val="2"/>
                <w:sz w:val="21"/>
                <w:highlight w:val="none"/>
              </w:rPr>
            </w:pPr>
            <w:r>
              <w:rPr>
                <w:rFonts w:hint="eastAsia"/>
                <w:color w:val="auto"/>
                <w:kern w:val="2"/>
                <w:sz w:val="21"/>
                <w:highlight w:val="none"/>
              </w:rPr>
              <w:t>N</w:t>
            </w:r>
          </w:p>
        </w:tc>
        <w:tc>
          <w:tcPr>
            <w:tcW w:w="1364" w:type="dxa"/>
            <w:tcBorders>
              <w:top w:val="single" w:color="000000" w:sz="4" w:space="0"/>
              <w:left w:val="single" w:color="000000" w:sz="4" w:space="0"/>
              <w:bottom w:val="single" w:color="000000" w:sz="4" w:space="0"/>
              <w:right w:val="single" w:color="000000" w:sz="4" w:space="0"/>
            </w:tcBorders>
          </w:tcPr>
          <w:p>
            <w:pPr>
              <w:spacing w:line="440" w:lineRule="exact"/>
              <w:rPr>
                <w:rFonts w:ascii="宋体" w:hAnsi="宋体" w:cs="宋体"/>
                <w:color w:val="auto"/>
                <w:highlight w:val="none"/>
              </w:rPr>
            </w:pPr>
          </w:p>
        </w:tc>
        <w:tc>
          <w:tcPr>
            <w:tcW w:w="1681" w:type="dxa"/>
            <w:tcBorders>
              <w:top w:val="single" w:color="000000" w:sz="4" w:space="0"/>
              <w:left w:val="single" w:color="000000" w:sz="4" w:space="0"/>
              <w:bottom w:val="single" w:color="000000" w:sz="4" w:space="0"/>
              <w:right w:val="single" w:color="auto" w:sz="4" w:space="0"/>
            </w:tcBorders>
          </w:tcPr>
          <w:p>
            <w:pPr>
              <w:spacing w:line="440" w:lineRule="exact"/>
              <w:rPr>
                <w:rFonts w:ascii="宋体" w:hAnsi="宋体" w:cs="宋体"/>
                <w:color w:val="auto"/>
                <w:highlight w:val="none"/>
              </w:rPr>
            </w:pPr>
          </w:p>
        </w:tc>
        <w:tc>
          <w:tcPr>
            <w:tcW w:w="2120" w:type="dxa"/>
            <w:tcBorders>
              <w:top w:val="single" w:color="000000" w:sz="4" w:space="0"/>
              <w:left w:val="single" w:color="auto" w:sz="4" w:space="0"/>
              <w:bottom w:val="single" w:color="000000" w:sz="4" w:space="0"/>
              <w:right w:val="single" w:color="000000" w:sz="4" w:space="0"/>
            </w:tcBorders>
          </w:tcPr>
          <w:p>
            <w:pPr>
              <w:spacing w:line="440" w:lineRule="exact"/>
              <w:rPr>
                <w:rFonts w:ascii="宋体" w:hAnsi="宋体" w:cs="宋体"/>
                <w:color w:val="auto"/>
                <w:highlight w:val="none"/>
              </w:rPr>
            </w:pPr>
          </w:p>
        </w:tc>
        <w:tc>
          <w:tcPr>
            <w:tcW w:w="2978" w:type="dxa"/>
            <w:tcBorders>
              <w:top w:val="single" w:color="000000" w:sz="4" w:space="0"/>
              <w:left w:val="single" w:color="000000" w:sz="4" w:space="0"/>
              <w:bottom w:val="single" w:color="000000" w:sz="4" w:space="0"/>
              <w:right w:val="single" w:color="000000" w:sz="4" w:space="0"/>
            </w:tcBorders>
          </w:tcPr>
          <w:p>
            <w:pPr>
              <w:spacing w:line="440" w:lineRule="exact"/>
              <w:rPr>
                <w:rFonts w:ascii="宋体" w:hAnsi="宋体" w:cs="宋体"/>
                <w:color w:val="auto"/>
                <w:highlight w:val="none"/>
              </w:rPr>
            </w:pPr>
          </w:p>
        </w:tc>
      </w:tr>
    </w:tbl>
    <w:p>
      <w:pPr>
        <w:snapToGrid w:val="0"/>
        <w:spacing w:before="50" w:line="440" w:lineRule="exact"/>
        <w:jc w:val="left"/>
        <w:rPr>
          <w:rFonts w:ascii="宋体" w:hAnsi="宋体" w:cs="宋体"/>
          <w:color w:val="auto"/>
          <w:szCs w:val="21"/>
          <w:highlight w:val="none"/>
        </w:rPr>
      </w:pPr>
    </w:p>
    <w:p>
      <w:pPr>
        <w:autoSpaceDE w:val="0"/>
        <w:autoSpaceDN w:val="0"/>
        <w:adjustRightIn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注：</w:t>
      </w:r>
    </w:p>
    <w:p>
      <w:pPr>
        <w:autoSpaceDE w:val="0"/>
        <w:autoSpaceDN w:val="0"/>
        <w:adjustRightIn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1.说明：应对照磋商文件“第三章”中“项目采购需求”的采购清单及技术参数条款逐条作出明确响应，并作出偏离说明。</w:t>
      </w:r>
    </w:p>
    <w:p>
      <w:pPr>
        <w:autoSpaceDE w:val="0"/>
        <w:autoSpaceDN w:val="0"/>
        <w:adjustRightIn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供应商应根据自身的承诺，对照磋商文件要求，在“偏离说明”中注明“正偏离”、“负偏离”或者“无偏离”。既不属于“正偏离”也不属于“负偏离”即为“无偏离”。当响应文件的商务内容低于竞争性磋商采购文件要求时，供应商应当如实写明“负偏离”，否则视为虚假应标。</w:t>
      </w:r>
    </w:p>
    <w:p>
      <w:pPr>
        <w:spacing w:line="440" w:lineRule="exact"/>
        <w:ind w:firstLine="6090" w:firstLineChars="2900"/>
        <w:rPr>
          <w:rFonts w:ascii="宋体" w:hAnsi="宋体" w:cs="宋体"/>
          <w:color w:val="auto"/>
          <w:szCs w:val="21"/>
          <w:highlight w:val="none"/>
        </w:rPr>
      </w:pPr>
    </w:p>
    <w:p>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pPr>
        <w:spacing w:line="44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pPr>
        <w:snapToGrid w:val="0"/>
        <w:spacing w:before="50" w:line="440" w:lineRule="exact"/>
        <w:jc w:val="left"/>
        <w:rPr>
          <w:rFonts w:ascii="宋体" w:hAnsi="宋体" w:cs="宋体"/>
          <w:color w:val="auto"/>
          <w:szCs w:val="21"/>
          <w:highlight w:val="none"/>
        </w:rPr>
      </w:pPr>
    </w:p>
    <w:p>
      <w:pPr>
        <w:snapToGrid w:val="0"/>
        <w:spacing w:before="50" w:line="440" w:lineRule="exact"/>
        <w:jc w:val="left"/>
        <w:rPr>
          <w:rFonts w:ascii="宋体" w:hAnsi="宋体" w:cs="宋体"/>
          <w:color w:val="auto"/>
          <w:szCs w:val="21"/>
          <w:highlight w:val="none"/>
        </w:rPr>
      </w:pPr>
    </w:p>
    <w:p>
      <w:pPr>
        <w:snapToGrid w:val="0"/>
        <w:spacing w:before="50" w:line="440" w:lineRule="exact"/>
        <w:jc w:val="left"/>
        <w:rPr>
          <w:rFonts w:ascii="宋体" w:hAnsi="宋体" w:cs="宋体"/>
          <w:color w:val="auto"/>
          <w:szCs w:val="21"/>
          <w:highlight w:val="none"/>
        </w:rPr>
      </w:pPr>
    </w:p>
    <w:p>
      <w:pPr>
        <w:snapToGrid w:val="0"/>
        <w:spacing w:before="50" w:line="440" w:lineRule="exact"/>
        <w:jc w:val="left"/>
        <w:rPr>
          <w:rFonts w:ascii="宋体" w:hAnsi="宋体" w:cs="宋体"/>
          <w:color w:val="auto"/>
          <w:szCs w:val="21"/>
          <w:highlight w:val="none"/>
        </w:rPr>
      </w:pPr>
    </w:p>
    <w:p>
      <w:pPr>
        <w:snapToGrid w:val="0"/>
        <w:spacing w:before="50" w:line="440" w:lineRule="exact"/>
        <w:jc w:val="left"/>
        <w:rPr>
          <w:rFonts w:ascii="宋体" w:hAnsi="宋体" w:cs="宋体"/>
          <w:color w:val="auto"/>
          <w:szCs w:val="21"/>
          <w:highlight w:val="none"/>
        </w:rPr>
      </w:pPr>
    </w:p>
    <w:p>
      <w:pPr>
        <w:snapToGrid w:val="0"/>
        <w:spacing w:before="50" w:line="440" w:lineRule="exact"/>
        <w:jc w:val="left"/>
        <w:rPr>
          <w:rFonts w:ascii="宋体" w:hAnsi="宋体" w:cs="宋体"/>
          <w:color w:val="auto"/>
          <w:szCs w:val="21"/>
          <w:highlight w:val="none"/>
        </w:rPr>
      </w:pPr>
    </w:p>
    <w:p>
      <w:pPr>
        <w:spacing w:line="440" w:lineRule="exact"/>
        <w:rPr>
          <w:rFonts w:ascii="宋体" w:hAnsi="宋体" w:cs="宋体"/>
          <w:b/>
          <w:color w:val="auto"/>
          <w:szCs w:val="21"/>
          <w:highlight w:val="none"/>
        </w:rPr>
      </w:pP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五、拟投入人员汇总表格式</w:t>
      </w:r>
    </w:p>
    <w:p>
      <w:pPr>
        <w:spacing w:line="440" w:lineRule="exact"/>
        <w:jc w:val="center"/>
        <w:rPr>
          <w:rFonts w:ascii="宋体" w:hAnsi="宋体" w:cs="宋体"/>
          <w:b/>
          <w:bCs/>
          <w:color w:val="auto"/>
          <w:kern w:val="0"/>
          <w:sz w:val="30"/>
          <w:highlight w:val="none"/>
        </w:rPr>
      </w:pPr>
    </w:p>
    <w:p>
      <w:pPr>
        <w:spacing w:line="440" w:lineRule="exact"/>
        <w:jc w:val="center"/>
        <w:rPr>
          <w:rFonts w:ascii="宋体" w:hAnsi="宋体" w:cs="宋体"/>
          <w:color w:val="auto"/>
          <w:szCs w:val="21"/>
          <w:highlight w:val="none"/>
        </w:rPr>
      </w:pPr>
      <w:r>
        <w:rPr>
          <w:rFonts w:hint="eastAsia" w:ascii="宋体" w:hAnsi="宋体" w:cs="宋体"/>
          <w:b/>
          <w:bCs/>
          <w:color w:val="auto"/>
          <w:kern w:val="0"/>
          <w:sz w:val="30"/>
          <w:highlight w:val="none"/>
        </w:rPr>
        <w:t>拟投入人员汇总表</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项目名称:</w:t>
      </w:r>
    </w:p>
    <w:p>
      <w:pPr>
        <w:snapToGrid w:val="0"/>
        <w:spacing w:before="50" w:after="50" w:line="440" w:lineRule="exact"/>
        <w:rPr>
          <w:rFonts w:ascii="宋体" w:hAnsi="宋体" w:cs="宋体"/>
          <w:color w:val="auto"/>
          <w:highlight w:val="none"/>
          <w:u w:val="single"/>
        </w:rPr>
      </w:pPr>
      <w:r>
        <w:rPr>
          <w:rFonts w:hint="eastAsia" w:ascii="宋体" w:hAnsi="宋体" w:cs="宋体"/>
          <w:color w:val="auto"/>
          <w:szCs w:val="21"/>
          <w:highlight w:val="none"/>
        </w:rPr>
        <w:t>项目编号:</w:t>
      </w:r>
    </w:p>
    <w:p>
      <w:pPr>
        <w:snapToGrid w:val="0"/>
        <w:spacing w:before="50" w:after="50" w:line="440" w:lineRule="exact"/>
        <w:rPr>
          <w:rFonts w:ascii="宋体" w:hAnsi="宋体" w:cs="宋体"/>
          <w:color w:val="auto"/>
          <w:highlight w:val="none"/>
        </w:rPr>
      </w:pPr>
      <w:r>
        <w:rPr>
          <w:rFonts w:hint="eastAsia" w:ascii="宋体" w:hAnsi="宋体" w:cs="宋体"/>
          <w:color w:val="auto"/>
          <w:highlight w:val="none"/>
        </w:rPr>
        <w:t>分标号：</w:t>
      </w:r>
    </w:p>
    <w:tbl>
      <w:tblPr>
        <w:tblStyle w:val="41"/>
        <w:tblW w:w="9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645"/>
        <w:gridCol w:w="1778"/>
        <w:gridCol w:w="2278"/>
        <w:gridCol w:w="2278"/>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5"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645"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778"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本项目担任角色</w:t>
            </w:r>
          </w:p>
        </w:tc>
        <w:tc>
          <w:tcPr>
            <w:tcW w:w="2278"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职称资格名称</w:t>
            </w:r>
          </w:p>
        </w:tc>
        <w:tc>
          <w:tcPr>
            <w:tcW w:w="2278" w:type="dxa"/>
          </w:tcPr>
          <w:p>
            <w:pPr>
              <w:spacing w:line="440" w:lineRule="exact"/>
              <w:jc w:val="center"/>
              <w:rPr>
                <w:rFonts w:ascii="宋体" w:hAnsi="宋体" w:cs="宋体"/>
                <w:color w:val="auto"/>
                <w:szCs w:val="21"/>
                <w:highlight w:val="none"/>
              </w:rPr>
            </w:pPr>
            <w:r>
              <w:rPr>
                <w:rFonts w:hint="eastAsia" w:ascii="宋体" w:hAnsi="宋体" w:cs="宋体"/>
                <w:bCs/>
                <w:color w:val="auto"/>
                <w:highlight w:val="none"/>
              </w:rPr>
              <w:t>专业</w:t>
            </w:r>
          </w:p>
        </w:tc>
        <w:tc>
          <w:tcPr>
            <w:tcW w:w="900"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95" w:type="dxa"/>
          </w:tcPr>
          <w:p>
            <w:pPr>
              <w:spacing w:line="440" w:lineRule="exact"/>
              <w:rPr>
                <w:rFonts w:ascii="宋体" w:hAnsi="宋体" w:cs="宋体"/>
                <w:color w:val="auto"/>
                <w:szCs w:val="21"/>
                <w:highlight w:val="none"/>
              </w:rPr>
            </w:pPr>
            <w:r>
              <w:rPr>
                <w:rFonts w:hint="eastAsia" w:ascii="宋体" w:hAnsi="宋体" w:cs="宋体"/>
                <w:color w:val="auto"/>
                <w:szCs w:val="21"/>
                <w:highlight w:val="none"/>
              </w:rPr>
              <w:t>1</w:t>
            </w:r>
          </w:p>
        </w:tc>
        <w:tc>
          <w:tcPr>
            <w:tcW w:w="1645" w:type="dxa"/>
          </w:tcPr>
          <w:p>
            <w:pPr>
              <w:spacing w:line="440" w:lineRule="exact"/>
              <w:rPr>
                <w:rFonts w:ascii="宋体" w:hAnsi="宋体" w:cs="宋体"/>
                <w:color w:val="auto"/>
                <w:szCs w:val="21"/>
                <w:highlight w:val="none"/>
              </w:rPr>
            </w:pPr>
          </w:p>
        </w:tc>
        <w:tc>
          <w:tcPr>
            <w:tcW w:w="1778" w:type="dxa"/>
          </w:tcPr>
          <w:p>
            <w:pPr>
              <w:spacing w:line="440" w:lineRule="exact"/>
              <w:rPr>
                <w:rFonts w:ascii="宋体" w:hAnsi="宋体" w:cs="宋体"/>
                <w:color w:val="auto"/>
                <w:szCs w:val="21"/>
                <w:highlight w:val="none"/>
              </w:rPr>
            </w:pPr>
          </w:p>
        </w:tc>
        <w:tc>
          <w:tcPr>
            <w:tcW w:w="2278" w:type="dxa"/>
          </w:tcPr>
          <w:p>
            <w:pPr>
              <w:spacing w:line="440" w:lineRule="exact"/>
              <w:rPr>
                <w:rFonts w:ascii="宋体" w:hAnsi="宋体" w:cs="宋体"/>
                <w:color w:val="auto"/>
                <w:szCs w:val="21"/>
                <w:highlight w:val="none"/>
              </w:rPr>
            </w:pPr>
          </w:p>
        </w:tc>
        <w:tc>
          <w:tcPr>
            <w:tcW w:w="2278" w:type="dxa"/>
          </w:tcPr>
          <w:p>
            <w:pPr>
              <w:spacing w:line="440" w:lineRule="exact"/>
              <w:rPr>
                <w:rFonts w:ascii="宋体" w:hAnsi="宋体" w:cs="宋体"/>
                <w:color w:val="auto"/>
                <w:szCs w:val="21"/>
                <w:highlight w:val="none"/>
              </w:rPr>
            </w:pPr>
          </w:p>
        </w:tc>
        <w:tc>
          <w:tcPr>
            <w:tcW w:w="900" w:type="dxa"/>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5" w:type="dxa"/>
          </w:tcPr>
          <w:p>
            <w:pPr>
              <w:spacing w:line="440" w:lineRule="exact"/>
              <w:rPr>
                <w:rFonts w:ascii="宋体" w:hAnsi="宋体" w:cs="宋体"/>
                <w:color w:val="auto"/>
                <w:szCs w:val="21"/>
                <w:highlight w:val="none"/>
              </w:rPr>
            </w:pPr>
            <w:r>
              <w:rPr>
                <w:rFonts w:hint="eastAsia" w:ascii="宋体" w:hAnsi="宋体" w:cs="宋体"/>
                <w:color w:val="auto"/>
                <w:szCs w:val="21"/>
                <w:highlight w:val="none"/>
              </w:rPr>
              <w:t>2</w:t>
            </w:r>
          </w:p>
        </w:tc>
        <w:tc>
          <w:tcPr>
            <w:tcW w:w="1645" w:type="dxa"/>
          </w:tcPr>
          <w:p>
            <w:pPr>
              <w:spacing w:line="440" w:lineRule="exact"/>
              <w:rPr>
                <w:rFonts w:ascii="宋体" w:hAnsi="宋体" w:cs="宋体"/>
                <w:color w:val="auto"/>
                <w:szCs w:val="21"/>
                <w:highlight w:val="none"/>
              </w:rPr>
            </w:pPr>
          </w:p>
        </w:tc>
        <w:tc>
          <w:tcPr>
            <w:tcW w:w="1778" w:type="dxa"/>
          </w:tcPr>
          <w:p>
            <w:pPr>
              <w:spacing w:line="440" w:lineRule="exact"/>
              <w:rPr>
                <w:rFonts w:ascii="宋体" w:hAnsi="宋体" w:cs="宋体"/>
                <w:color w:val="auto"/>
                <w:szCs w:val="21"/>
                <w:highlight w:val="none"/>
              </w:rPr>
            </w:pPr>
          </w:p>
        </w:tc>
        <w:tc>
          <w:tcPr>
            <w:tcW w:w="2278" w:type="dxa"/>
          </w:tcPr>
          <w:p>
            <w:pPr>
              <w:spacing w:line="440" w:lineRule="exact"/>
              <w:rPr>
                <w:rFonts w:ascii="宋体" w:hAnsi="宋体" w:cs="宋体"/>
                <w:color w:val="auto"/>
                <w:szCs w:val="21"/>
                <w:highlight w:val="none"/>
              </w:rPr>
            </w:pPr>
          </w:p>
        </w:tc>
        <w:tc>
          <w:tcPr>
            <w:tcW w:w="2278" w:type="dxa"/>
          </w:tcPr>
          <w:p>
            <w:pPr>
              <w:spacing w:line="440" w:lineRule="exact"/>
              <w:rPr>
                <w:rFonts w:ascii="宋体" w:hAnsi="宋体" w:cs="宋体"/>
                <w:color w:val="auto"/>
                <w:szCs w:val="21"/>
                <w:highlight w:val="none"/>
              </w:rPr>
            </w:pPr>
          </w:p>
        </w:tc>
        <w:tc>
          <w:tcPr>
            <w:tcW w:w="900" w:type="dxa"/>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5" w:type="dxa"/>
          </w:tcPr>
          <w:p>
            <w:pPr>
              <w:spacing w:line="440" w:lineRule="exact"/>
              <w:rPr>
                <w:rFonts w:ascii="宋体" w:hAnsi="宋体" w:cs="宋体"/>
                <w:color w:val="auto"/>
                <w:szCs w:val="21"/>
                <w:highlight w:val="none"/>
              </w:rPr>
            </w:pPr>
          </w:p>
        </w:tc>
        <w:tc>
          <w:tcPr>
            <w:tcW w:w="1645" w:type="dxa"/>
          </w:tcPr>
          <w:p>
            <w:pPr>
              <w:spacing w:line="440" w:lineRule="exact"/>
              <w:rPr>
                <w:rFonts w:ascii="宋体" w:hAnsi="宋体" w:cs="宋体"/>
                <w:color w:val="auto"/>
                <w:szCs w:val="21"/>
                <w:highlight w:val="none"/>
              </w:rPr>
            </w:pPr>
          </w:p>
        </w:tc>
        <w:tc>
          <w:tcPr>
            <w:tcW w:w="1778" w:type="dxa"/>
          </w:tcPr>
          <w:p>
            <w:pPr>
              <w:spacing w:line="440" w:lineRule="exact"/>
              <w:rPr>
                <w:rFonts w:ascii="宋体" w:hAnsi="宋体" w:cs="宋体"/>
                <w:color w:val="auto"/>
                <w:szCs w:val="21"/>
                <w:highlight w:val="none"/>
              </w:rPr>
            </w:pPr>
          </w:p>
        </w:tc>
        <w:tc>
          <w:tcPr>
            <w:tcW w:w="2278" w:type="dxa"/>
          </w:tcPr>
          <w:p>
            <w:pPr>
              <w:spacing w:line="440" w:lineRule="exact"/>
              <w:rPr>
                <w:rFonts w:ascii="宋体" w:hAnsi="宋体" w:cs="宋体"/>
                <w:color w:val="auto"/>
                <w:szCs w:val="21"/>
                <w:highlight w:val="none"/>
              </w:rPr>
            </w:pPr>
          </w:p>
        </w:tc>
        <w:tc>
          <w:tcPr>
            <w:tcW w:w="2278" w:type="dxa"/>
          </w:tcPr>
          <w:p>
            <w:pPr>
              <w:spacing w:line="440" w:lineRule="exact"/>
              <w:rPr>
                <w:rFonts w:ascii="宋体" w:hAnsi="宋体" w:cs="宋体"/>
                <w:color w:val="auto"/>
                <w:szCs w:val="21"/>
                <w:highlight w:val="none"/>
              </w:rPr>
            </w:pPr>
          </w:p>
        </w:tc>
        <w:tc>
          <w:tcPr>
            <w:tcW w:w="900" w:type="dxa"/>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95" w:type="dxa"/>
          </w:tcPr>
          <w:p>
            <w:pPr>
              <w:spacing w:line="440" w:lineRule="exact"/>
              <w:rPr>
                <w:rFonts w:ascii="宋体" w:hAnsi="宋体" w:cs="宋体"/>
                <w:color w:val="auto"/>
                <w:szCs w:val="21"/>
                <w:highlight w:val="none"/>
              </w:rPr>
            </w:pPr>
          </w:p>
        </w:tc>
        <w:tc>
          <w:tcPr>
            <w:tcW w:w="1645" w:type="dxa"/>
          </w:tcPr>
          <w:p>
            <w:pPr>
              <w:spacing w:line="440" w:lineRule="exact"/>
              <w:rPr>
                <w:rFonts w:ascii="宋体" w:hAnsi="宋体" w:cs="宋体"/>
                <w:color w:val="auto"/>
                <w:szCs w:val="21"/>
                <w:highlight w:val="none"/>
              </w:rPr>
            </w:pPr>
          </w:p>
        </w:tc>
        <w:tc>
          <w:tcPr>
            <w:tcW w:w="1778" w:type="dxa"/>
          </w:tcPr>
          <w:p>
            <w:pPr>
              <w:spacing w:line="440" w:lineRule="exact"/>
              <w:rPr>
                <w:rFonts w:ascii="宋体" w:hAnsi="宋体" w:cs="宋体"/>
                <w:color w:val="auto"/>
                <w:szCs w:val="21"/>
                <w:highlight w:val="none"/>
              </w:rPr>
            </w:pPr>
          </w:p>
        </w:tc>
        <w:tc>
          <w:tcPr>
            <w:tcW w:w="2278" w:type="dxa"/>
          </w:tcPr>
          <w:p>
            <w:pPr>
              <w:spacing w:line="440" w:lineRule="exact"/>
              <w:rPr>
                <w:rFonts w:ascii="宋体" w:hAnsi="宋体" w:cs="宋体"/>
                <w:color w:val="auto"/>
                <w:szCs w:val="21"/>
                <w:highlight w:val="none"/>
              </w:rPr>
            </w:pPr>
          </w:p>
        </w:tc>
        <w:tc>
          <w:tcPr>
            <w:tcW w:w="2278" w:type="dxa"/>
          </w:tcPr>
          <w:p>
            <w:pPr>
              <w:spacing w:line="440" w:lineRule="exact"/>
              <w:rPr>
                <w:rFonts w:ascii="宋体" w:hAnsi="宋体" w:cs="宋体"/>
                <w:color w:val="auto"/>
                <w:szCs w:val="21"/>
                <w:highlight w:val="none"/>
              </w:rPr>
            </w:pPr>
          </w:p>
        </w:tc>
        <w:tc>
          <w:tcPr>
            <w:tcW w:w="900" w:type="dxa"/>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5" w:type="dxa"/>
          </w:tcPr>
          <w:p>
            <w:pPr>
              <w:spacing w:line="440" w:lineRule="exact"/>
              <w:rPr>
                <w:rFonts w:ascii="宋体" w:hAnsi="宋体" w:cs="宋体"/>
                <w:color w:val="auto"/>
                <w:szCs w:val="21"/>
                <w:highlight w:val="none"/>
              </w:rPr>
            </w:pPr>
          </w:p>
        </w:tc>
        <w:tc>
          <w:tcPr>
            <w:tcW w:w="1645" w:type="dxa"/>
          </w:tcPr>
          <w:p>
            <w:pPr>
              <w:spacing w:line="440" w:lineRule="exact"/>
              <w:rPr>
                <w:rFonts w:ascii="宋体" w:hAnsi="宋体" w:cs="宋体"/>
                <w:color w:val="auto"/>
                <w:szCs w:val="21"/>
                <w:highlight w:val="none"/>
              </w:rPr>
            </w:pPr>
          </w:p>
        </w:tc>
        <w:tc>
          <w:tcPr>
            <w:tcW w:w="1778" w:type="dxa"/>
          </w:tcPr>
          <w:p>
            <w:pPr>
              <w:spacing w:line="440" w:lineRule="exact"/>
              <w:rPr>
                <w:rFonts w:ascii="宋体" w:hAnsi="宋体" w:cs="宋体"/>
                <w:color w:val="auto"/>
                <w:szCs w:val="21"/>
                <w:highlight w:val="none"/>
              </w:rPr>
            </w:pPr>
          </w:p>
        </w:tc>
        <w:tc>
          <w:tcPr>
            <w:tcW w:w="2278" w:type="dxa"/>
          </w:tcPr>
          <w:p>
            <w:pPr>
              <w:spacing w:line="440" w:lineRule="exact"/>
              <w:rPr>
                <w:rFonts w:ascii="宋体" w:hAnsi="宋体" w:cs="宋体"/>
                <w:color w:val="auto"/>
                <w:szCs w:val="21"/>
                <w:highlight w:val="none"/>
              </w:rPr>
            </w:pPr>
          </w:p>
        </w:tc>
        <w:tc>
          <w:tcPr>
            <w:tcW w:w="2278" w:type="dxa"/>
          </w:tcPr>
          <w:p>
            <w:pPr>
              <w:spacing w:line="440" w:lineRule="exact"/>
              <w:rPr>
                <w:rFonts w:ascii="宋体" w:hAnsi="宋体" w:cs="宋体"/>
                <w:color w:val="auto"/>
                <w:szCs w:val="21"/>
                <w:highlight w:val="none"/>
              </w:rPr>
            </w:pPr>
          </w:p>
        </w:tc>
        <w:tc>
          <w:tcPr>
            <w:tcW w:w="900" w:type="dxa"/>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5" w:type="dxa"/>
          </w:tcPr>
          <w:p>
            <w:pPr>
              <w:spacing w:line="440" w:lineRule="exact"/>
              <w:rPr>
                <w:rFonts w:ascii="宋体" w:hAnsi="宋体" w:cs="宋体"/>
                <w:color w:val="auto"/>
                <w:szCs w:val="21"/>
                <w:highlight w:val="none"/>
              </w:rPr>
            </w:pPr>
          </w:p>
        </w:tc>
        <w:tc>
          <w:tcPr>
            <w:tcW w:w="1645" w:type="dxa"/>
          </w:tcPr>
          <w:p>
            <w:pPr>
              <w:spacing w:line="440" w:lineRule="exact"/>
              <w:rPr>
                <w:rFonts w:ascii="宋体" w:hAnsi="宋体" w:cs="宋体"/>
                <w:color w:val="auto"/>
                <w:szCs w:val="21"/>
                <w:highlight w:val="none"/>
              </w:rPr>
            </w:pPr>
          </w:p>
        </w:tc>
        <w:tc>
          <w:tcPr>
            <w:tcW w:w="1778" w:type="dxa"/>
          </w:tcPr>
          <w:p>
            <w:pPr>
              <w:spacing w:line="440" w:lineRule="exact"/>
              <w:rPr>
                <w:rFonts w:ascii="宋体" w:hAnsi="宋体" w:cs="宋体"/>
                <w:color w:val="auto"/>
                <w:szCs w:val="21"/>
                <w:highlight w:val="none"/>
              </w:rPr>
            </w:pPr>
          </w:p>
        </w:tc>
        <w:tc>
          <w:tcPr>
            <w:tcW w:w="2278" w:type="dxa"/>
          </w:tcPr>
          <w:p>
            <w:pPr>
              <w:spacing w:line="440" w:lineRule="exact"/>
              <w:rPr>
                <w:rFonts w:ascii="宋体" w:hAnsi="宋体" w:cs="宋体"/>
                <w:color w:val="auto"/>
                <w:szCs w:val="21"/>
                <w:highlight w:val="none"/>
              </w:rPr>
            </w:pPr>
          </w:p>
        </w:tc>
        <w:tc>
          <w:tcPr>
            <w:tcW w:w="2278" w:type="dxa"/>
          </w:tcPr>
          <w:p>
            <w:pPr>
              <w:spacing w:line="440" w:lineRule="exact"/>
              <w:rPr>
                <w:rFonts w:ascii="宋体" w:hAnsi="宋体" w:cs="宋体"/>
                <w:color w:val="auto"/>
                <w:szCs w:val="21"/>
                <w:highlight w:val="none"/>
              </w:rPr>
            </w:pPr>
          </w:p>
        </w:tc>
        <w:tc>
          <w:tcPr>
            <w:tcW w:w="900" w:type="dxa"/>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95" w:type="dxa"/>
          </w:tcPr>
          <w:p>
            <w:pPr>
              <w:spacing w:line="440" w:lineRule="exact"/>
              <w:rPr>
                <w:rFonts w:ascii="宋体" w:hAnsi="宋体" w:cs="宋体"/>
                <w:color w:val="auto"/>
                <w:szCs w:val="21"/>
                <w:highlight w:val="none"/>
              </w:rPr>
            </w:pPr>
          </w:p>
        </w:tc>
        <w:tc>
          <w:tcPr>
            <w:tcW w:w="1645" w:type="dxa"/>
          </w:tcPr>
          <w:p>
            <w:pPr>
              <w:spacing w:line="440" w:lineRule="exact"/>
              <w:rPr>
                <w:rFonts w:ascii="宋体" w:hAnsi="宋体" w:cs="宋体"/>
                <w:color w:val="auto"/>
                <w:szCs w:val="21"/>
                <w:highlight w:val="none"/>
              </w:rPr>
            </w:pPr>
          </w:p>
        </w:tc>
        <w:tc>
          <w:tcPr>
            <w:tcW w:w="1778" w:type="dxa"/>
          </w:tcPr>
          <w:p>
            <w:pPr>
              <w:spacing w:line="440" w:lineRule="exact"/>
              <w:rPr>
                <w:rFonts w:ascii="宋体" w:hAnsi="宋体" w:cs="宋体"/>
                <w:color w:val="auto"/>
                <w:szCs w:val="21"/>
                <w:highlight w:val="none"/>
              </w:rPr>
            </w:pPr>
          </w:p>
        </w:tc>
        <w:tc>
          <w:tcPr>
            <w:tcW w:w="2278" w:type="dxa"/>
          </w:tcPr>
          <w:p>
            <w:pPr>
              <w:spacing w:line="440" w:lineRule="exact"/>
              <w:rPr>
                <w:rFonts w:ascii="宋体" w:hAnsi="宋体" w:cs="宋体"/>
                <w:color w:val="auto"/>
                <w:szCs w:val="21"/>
                <w:highlight w:val="none"/>
              </w:rPr>
            </w:pPr>
          </w:p>
        </w:tc>
        <w:tc>
          <w:tcPr>
            <w:tcW w:w="2278" w:type="dxa"/>
          </w:tcPr>
          <w:p>
            <w:pPr>
              <w:spacing w:line="440" w:lineRule="exact"/>
              <w:rPr>
                <w:rFonts w:ascii="宋体" w:hAnsi="宋体" w:cs="宋体"/>
                <w:color w:val="auto"/>
                <w:szCs w:val="21"/>
                <w:highlight w:val="none"/>
              </w:rPr>
            </w:pPr>
          </w:p>
        </w:tc>
        <w:tc>
          <w:tcPr>
            <w:tcW w:w="900" w:type="dxa"/>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5" w:type="dxa"/>
          </w:tcPr>
          <w:p>
            <w:pPr>
              <w:spacing w:line="440" w:lineRule="exact"/>
              <w:rPr>
                <w:rFonts w:ascii="宋体" w:hAnsi="宋体" w:cs="宋体"/>
                <w:color w:val="auto"/>
                <w:szCs w:val="21"/>
                <w:highlight w:val="none"/>
              </w:rPr>
            </w:pPr>
          </w:p>
        </w:tc>
        <w:tc>
          <w:tcPr>
            <w:tcW w:w="1645" w:type="dxa"/>
          </w:tcPr>
          <w:p>
            <w:pPr>
              <w:spacing w:line="440" w:lineRule="exact"/>
              <w:rPr>
                <w:rFonts w:ascii="宋体" w:hAnsi="宋体" w:cs="宋体"/>
                <w:color w:val="auto"/>
                <w:szCs w:val="21"/>
                <w:highlight w:val="none"/>
              </w:rPr>
            </w:pPr>
          </w:p>
        </w:tc>
        <w:tc>
          <w:tcPr>
            <w:tcW w:w="1778" w:type="dxa"/>
          </w:tcPr>
          <w:p>
            <w:pPr>
              <w:spacing w:line="440" w:lineRule="exact"/>
              <w:rPr>
                <w:rFonts w:ascii="宋体" w:hAnsi="宋体" w:cs="宋体"/>
                <w:color w:val="auto"/>
                <w:szCs w:val="21"/>
                <w:highlight w:val="none"/>
              </w:rPr>
            </w:pPr>
          </w:p>
        </w:tc>
        <w:tc>
          <w:tcPr>
            <w:tcW w:w="2278" w:type="dxa"/>
          </w:tcPr>
          <w:p>
            <w:pPr>
              <w:spacing w:line="440" w:lineRule="exact"/>
              <w:rPr>
                <w:rFonts w:ascii="宋体" w:hAnsi="宋体" w:cs="宋体"/>
                <w:color w:val="auto"/>
                <w:szCs w:val="21"/>
                <w:highlight w:val="none"/>
              </w:rPr>
            </w:pPr>
          </w:p>
        </w:tc>
        <w:tc>
          <w:tcPr>
            <w:tcW w:w="2278" w:type="dxa"/>
          </w:tcPr>
          <w:p>
            <w:pPr>
              <w:spacing w:line="440" w:lineRule="exact"/>
              <w:rPr>
                <w:rFonts w:ascii="宋体" w:hAnsi="宋体" w:cs="宋体"/>
                <w:color w:val="auto"/>
                <w:szCs w:val="21"/>
                <w:highlight w:val="none"/>
              </w:rPr>
            </w:pPr>
          </w:p>
        </w:tc>
        <w:tc>
          <w:tcPr>
            <w:tcW w:w="900" w:type="dxa"/>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5" w:type="dxa"/>
          </w:tcPr>
          <w:p>
            <w:pPr>
              <w:spacing w:line="440" w:lineRule="exact"/>
              <w:rPr>
                <w:rFonts w:ascii="宋体" w:hAnsi="宋体" w:cs="宋体"/>
                <w:color w:val="auto"/>
                <w:szCs w:val="21"/>
                <w:highlight w:val="none"/>
              </w:rPr>
            </w:pPr>
          </w:p>
        </w:tc>
        <w:tc>
          <w:tcPr>
            <w:tcW w:w="1645" w:type="dxa"/>
          </w:tcPr>
          <w:p>
            <w:pPr>
              <w:spacing w:line="440" w:lineRule="exact"/>
              <w:rPr>
                <w:rFonts w:ascii="宋体" w:hAnsi="宋体" w:cs="宋体"/>
                <w:color w:val="auto"/>
                <w:szCs w:val="21"/>
                <w:highlight w:val="none"/>
              </w:rPr>
            </w:pPr>
          </w:p>
        </w:tc>
        <w:tc>
          <w:tcPr>
            <w:tcW w:w="1778" w:type="dxa"/>
          </w:tcPr>
          <w:p>
            <w:pPr>
              <w:spacing w:line="440" w:lineRule="exact"/>
              <w:rPr>
                <w:rFonts w:ascii="宋体" w:hAnsi="宋体" w:cs="宋体"/>
                <w:color w:val="auto"/>
                <w:szCs w:val="21"/>
                <w:highlight w:val="none"/>
              </w:rPr>
            </w:pPr>
          </w:p>
        </w:tc>
        <w:tc>
          <w:tcPr>
            <w:tcW w:w="2278" w:type="dxa"/>
          </w:tcPr>
          <w:p>
            <w:pPr>
              <w:spacing w:line="440" w:lineRule="exact"/>
              <w:rPr>
                <w:rFonts w:ascii="宋体" w:hAnsi="宋体" w:cs="宋体"/>
                <w:color w:val="auto"/>
                <w:szCs w:val="21"/>
                <w:highlight w:val="none"/>
              </w:rPr>
            </w:pPr>
          </w:p>
        </w:tc>
        <w:tc>
          <w:tcPr>
            <w:tcW w:w="2278" w:type="dxa"/>
          </w:tcPr>
          <w:p>
            <w:pPr>
              <w:spacing w:line="440" w:lineRule="exact"/>
              <w:rPr>
                <w:rFonts w:ascii="宋体" w:hAnsi="宋体" w:cs="宋体"/>
                <w:color w:val="auto"/>
                <w:szCs w:val="21"/>
                <w:highlight w:val="none"/>
              </w:rPr>
            </w:pPr>
          </w:p>
        </w:tc>
        <w:tc>
          <w:tcPr>
            <w:tcW w:w="900" w:type="dxa"/>
          </w:tcPr>
          <w:p>
            <w:pPr>
              <w:spacing w:line="440" w:lineRule="exact"/>
              <w:rPr>
                <w:rFonts w:ascii="宋体" w:hAnsi="宋体" w:cs="宋体"/>
                <w:color w:val="auto"/>
                <w:szCs w:val="21"/>
                <w:highlight w:val="none"/>
              </w:rPr>
            </w:pPr>
          </w:p>
        </w:tc>
      </w:tr>
    </w:tbl>
    <w:p>
      <w:pPr>
        <w:spacing w:line="440" w:lineRule="exact"/>
        <w:ind w:firstLine="422" w:firstLineChars="200"/>
        <w:jc w:val="left"/>
        <w:rPr>
          <w:rFonts w:ascii="宋体" w:hAnsi="宋体" w:cs="宋体"/>
          <w:b/>
          <w:bCs/>
          <w:color w:val="auto"/>
          <w:highlight w:val="none"/>
        </w:rPr>
      </w:pPr>
      <w:r>
        <w:rPr>
          <w:rFonts w:hint="eastAsia" w:ascii="宋体" w:hAnsi="宋体" w:cs="宋体"/>
          <w:b/>
          <w:bCs/>
          <w:color w:val="auto"/>
          <w:highlight w:val="none"/>
        </w:rPr>
        <w:t>注：附拟投入人员职称资格证书的复印件并加盖单位公章。</w:t>
      </w:r>
    </w:p>
    <w:p>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pPr>
        <w:spacing w:line="44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pPr>
        <w:snapToGrid w:val="0"/>
        <w:spacing w:before="50" w:line="440" w:lineRule="exact"/>
        <w:jc w:val="left"/>
        <w:rPr>
          <w:rFonts w:ascii="宋体" w:hAnsi="宋体" w:cs="宋体"/>
          <w:b/>
          <w:color w:val="auto"/>
          <w:szCs w:val="21"/>
          <w:highlight w:val="none"/>
        </w:rPr>
      </w:pPr>
      <w:r>
        <w:rPr>
          <w:rFonts w:hint="eastAsia" w:ascii="宋体" w:hAnsi="宋体" w:cs="宋体"/>
          <w:b/>
          <w:color w:val="auto"/>
          <w:sz w:val="24"/>
          <w:highlight w:val="none"/>
        </w:rPr>
        <w:br w:type="page"/>
      </w:r>
      <w:r>
        <w:rPr>
          <w:rFonts w:hint="eastAsia" w:ascii="宋体" w:hAnsi="宋体" w:cs="宋体"/>
          <w:b/>
          <w:color w:val="auto"/>
          <w:szCs w:val="21"/>
          <w:highlight w:val="none"/>
        </w:rPr>
        <w:t>六、服务承诺书</w:t>
      </w:r>
    </w:p>
    <w:p>
      <w:pPr>
        <w:pStyle w:val="23"/>
        <w:spacing w:line="440" w:lineRule="exact"/>
        <w:jc w:val="center"/>
        <w:rPr>
          <w:rFonts w:hAnsi="宋体" w:cs="宋体"/>
          <w:color w:val="auto"/>
          <w:sz w:val="32"/>
          <w:szCs w:val="32"/>
          <w:highlight w:val="none"/>
        </w:rPr>
      </w:pPr>
    </w:p>
    <w:p>
      <w:pPr>
        <w:pStyle w:val="23"/>
        <w:spacing w:line="440" w:lineRule="exact"/>
        <w:jc w:val="center"/>
        <w:rPr>
          <w:rFonts w:hAnsi="宋体" w:cs="宋体"/>
          <w:color w:val="auto"/>
          <w:sz w:val="32"/>
          <w:szCs w:val="32"/>
          <w:highlight w:val="none"/>
        </w:rPr>
      </w:pPr>
      <w:r>
        <w:rPr>
          <w:rFonts w:hint="eastAsia" w:hAnsi="宋体" w:cs="宋体"/>
          <w:color w:val="auto"/>
          <w:sz w:val="32"/>
          <w:szCs w:val="32"/>
          <w:highlight w:val="none"/>
        </w:rPr>
        <w:t>服务承诺书</w:t>
      </w:r>
    </w:p>
    <w:p>
      <w:pPr>
        <w:pStyle w:val="23"/>
        <w:spacing w:line="440" w:lineRule="exact"/>
        <w:ind w:firstLine="420" w:firstLineChars="200"/>
        <w:rPr>
          <w:rFonts w:hAnsi="宋体" w:cs="宋体"/>
          <w:color w:val="auto"/>
          <w:sz w:val="21"/>
          <w:highlight w:val="none"/>
        </w:rPr>
      </w:pPr>
      <w:r>
        <w:rPr>
          <w:rFonts w:hint="eastAsia" w:hAnsi="宋体" w:cs="宋体"/>
          <w:color w:val="auto"/>
          <w:sz w:val="21"/>
          <w:highlight w:val="none"/>
        </w:rPr>
        <w:t xml:space="preserve">第1条 </w:t>
      </w:r>
      <w:r>
        <w:rPr>
          <w:rFonts w:hint="eastAsia" w:hAnsi="宋体" w:cs="宋体"/>
          <w:b/>
          <w:color w:val="auto"/>
          <w:sz w:val="21"/>
          <w:highlight w:val="none"/>
        </w:rPr>
        <w:t>对合同条款、付款方式全部予以响应。</w:t>
      </w:r>
    </w:p>
    <w:p>
      <w:pPr>
        <w:pStyle w:val="23"/>
        <w:spacing w:line="440" w:lineRule="exact"/>
        <w:ind w:firstLine="420" w:firstLineChars="200"/>
        <w:rPr>
          <w:rFonts w:hAnsi="宋体" w:cs="宋体"/>
          <w:color w:val="auto"/>
          <w:sz w:val="21"/>
          <w:highlight w:val="none"/>
        </w:rPr>
      </w:pPr>
      <w:r>
        <w:rPr>
          <w:rFonts w:hint="eastAsia" w:hAnsi="宋体" w:cs="宋体"/>
          <w:color w:val="auto"/>
          <w:sz w:val="21"/>
          <w:highlight w:val="none"/>
        </w:rPr>
        <w:t>第2条 （由供应商按《项目采购需求》要求自行填写，所作的承诺作为构成合同不可分割的部分，必须真实、诚信，如提供虚假承诺或在成交、成交后不按其承诺履行的，将依法追究违约责任，并按《中华人民共和国政府采购法》规定予以处罚。）</w:t>
      </w:r>
    </w:p>
    <w:p>
      <w:pPr>
        <w:pStyle w:val="23"/>
        <w:spacing w:line="440" w:lineRule="exact"/>
        <w:ind w:firstLine="420" w:firstLineChars="200"/>
        <w:rPr>
          <w:rFonts w:hAnsi="宋体" w:cs="宋体"/>
          <w:color w:val="auto"/>
          <w:sz w:val="21"/>
          <w:highlight w:val="none"/>
        </w:rPr>
      </w:pPr>
    </w:p>
    <w:p>
      <w:pPr>
        <w:pStyle w:val="23"/>
        <w:spacing w:line="440" w:lineRule="exact"/>
        <w:rPr>
          <w:rFonts w:hAnsi="宋体" w:cs="宋体"/>
          <w:color w:val="auto"/>
          <w:sz w:val="21"/>
          <w:highlight w:val="none"/>
        </w:rPr>
      </w:pPr>
    </w:p>
    <w:p>
      <w:pPr>
        <w:pStyle w:val="23"/>
        <w:spacing w:line="440" w:lineRule="exact"/>
        <w:rPr>
          <w:rFonts w:hAnsi="宋体" w:cs="宋体"/>
          <w:color w:val="auto"/>
          <w:sz w:val="21"/>
          <w:highlight w:val="none"/>
        </w:rPr>
      </w:pPr>
    </w:p>
    <w:p>
      <w:pPr>
        <w:pStyle w:val="23"/>
        <w:spacing w:line="440" w:lineRule="exact"/>
        <w:rPr>
          <w:rFonts w:hAnsi="宋体" w:cs="宋体"/>
          <w:color w:val="auto"/>
          <w:sz w:val="21"/>
          <w:highlight w:val="none"/>
        </w:rPr>
      </w:pPr>
      <w:r>
        <w:rPr>
          <w:rFonts w:hint="eastAsia" w:hAnsi="宋体" w:cs="宋体"/>
          <w:color w:val="auto"/>
          <w:sz w:val="21"/>
          <w:highlight w:val="none"/>
        </w:rPr>
        <w:t>备注：以上为服务承诺格式，第1条为供应商必须列明，其余条款供应商可根据实际情况一一列明。</w:t>
      </w:r>
    </w:p>
    <w:p>
      <w:pPr>
        <w:pStyle w:val="23"/>
        <w:spacing w:line="440" w:lineRule="exact"/>
        <w:rPr>
          <w:rFonts w:hAnsi="宋体" w:cs="宋体"/>
          <w:color w:val="auto"/>
          <w:sz w:val="21"/>
          <w:highlight w:val="none"/>
        </w:rPr>
      </w:pPr>
    </w:p>
    <w:p>
      <w:pPr>
        <w:pStyle w:val="23"/>
        <w:spacing w:line="440" w:lineRule="exact"/>
        <w:rPr>
          <w:rFonts w:hAnsi="宋体" w:cs="宋体"/>
          <w:color w:val="auto"/>
          <w:sz w:val="21"/>
          <w:highlight w:val="none"/>
        </w:rPr>
      </w:pPr>
    </w:p>
    <w:p>
      <w:pPr>
        <w:pStyle w:val="23"/>
        <w:spacing w:line="440" w:lineRule="exact"/>
        <w:rPr>
          <w:rFonts w:hAnsi="宋体" w:cs="宋体"/>
          <w:color w:val="auto"/>
          <w:sz w:val="21"/>
          <w:highlight w:val="none"/>
        </w:rPr>
      </w:pPr>
    </w:p>
    <w:p>
      <w:pPr>
        <w:pStyle w:val="23"/>
        <w:spacing w:line="440" w:lineRule="exact"/>
        <w:rPr>
          <w:rFonts w:hAnsi="宋体" w:cs="宋体"/>
          <w:color w:val="auto"/>
          <w:sz w:val="21"/>
          <w:highlight w:val="none"/>
        </w:rPr>
      </w:pPr>
    </w:p>
    <w:p>
      <w:pPr>
        <w:spacing w:line="440" w:lineRule="exact"/>
        <w:ind w:firstLine="6090" w:firstLineChars="2900"/>
        <w:jc w:val="right"/>
        <w:rPr>
          <w:rFonts w:ascii="宋体" w:hAnsi="宋体" w:cs="宋体"/>
          <w:color w:val="auto"/>
          <w:szCs w:val="21"/>
          <w:highlight w:val="none"/>
        </w:rPr>
      </w:pPr>
      <w:r>
        <w:rPr>
          <w:rFonts w:hint="eastAsia" w:ascii="宋体" w:hAnsi="宋体" w:cs="宋体"/>
          <w:color w:val="auto"/>
          <w:szCs w:val="21"/>
          <w:highlight w:val="none"/>
        </w:rPr>
        <w:t>供应商名称(电子签章)：</w:t>
      </w:r>
    </w:p>
    <w:p>
      <w:pPr>
        <w:spacing w:line="440" w:lineRule="exact"/>
        <w:ind w:firstLine="6300" w:firstLineChars="3000"/>
        <w:jc w:val="right"/>
        <w:rPr>
          <w:rFonts w:ascii="宋体" w:hAnsi="宋体" w:cs="宋体"/>
          <w:color w:val="auto"/>
          <w:szCs w:val="21"/>
          <w:highlight w:val="none"/>
        </w:rPr>
      </w:pPr>
      <w:r>
        <w:rPr>
          <w:rFonts w:hint="eastAsia" w:ascii="宋体" w:hAnsi="宋体" w:cs="宋体"/>
          <w:color w:val="auto"/>
          <w:szCs w:val="21"/>
          <w:highlight w:val="none"/>
        </w:rPr>
        <w:t>日期： 年 月 日</w:t>
      </w:r>
    </w:p>
    <w:p>
      <w:pPr>
        <w:pStyle w:val="23"/>
        <w:spacing w:line="440" w:lineRule="exact"/>
        <w:jc w:val="left"/>
        <w:rPr>
          <w:rFonts w:hAnsi="宋体" w:cs="宋体"/>
          <w:b/>
          <w:color w:val="auto"/>
          <w:highlight w:val="none"/>
        </w:rPr>
      </w:pPr>
    </w:p>
    <w:p>
      <w:pPr>
        <w:pStyle w:val="23"/>
        <w:spacing w:line="440" w:lineRule="exact"/>
        <w:jc w:val="left"/>
        <w:rPr>
          <w:rFonts w:hAnsi="宋体" w:cs="宋体"/>
          <w:b/>
          <w:color w:val="auto"/>
          <w:highlight w:val="none"/>
        </w:rPr>
      </w:pPr>
    </w:p>
    <w:p>
      <w:pPr>
        <w:pStyle w:val="23"/>
        <w:spacing w:line="440" w:lineRule="exact"/>
        <w:jc w:val="left"/>
        <w:rPr>
          <w:rFonts w:hAnsi="宋体" w:cs="宋体"/>
          <w:b/>
          <w:color w:val="auto"/>
          <w:highlight w:val="none"/>
        </w:rPr>
      </w:pPr>
    </w:p>
    <w:p>
      <w:pPr>
        <w:pStyle w:val="23"/>
        <w:spacing w:line="440" w:lineRule="exact"/>
        <w:jc w:val="left"/>
        <w:rPr>
          <w:rFonts w:hAnsi="宋体" w:cs="宋体"/>
          <w:b/>
          <w:color w:val="auto"/>
          <w:highlight w:val="none"/>
        </w:rPr>
      </w:pPr>
    </w:p>
    <w:p>
      <w:pPr>
        <w:pStyle w:val="23"/>
        <w:spacing w:line="440" w:lineRule="exact"/>
        <w:jc w:val="left"/>
        <w:rPr>
          <w:rFonts w:hAnsi="宋体" w:cs="宋体"/>
          <w:b/>
          <w:color w:val="auto"/>
          <w:highlight w:val="none"/>
        </w:rPr>
      </w:pPr>
    </w:p>
    <w:p>
      <w:pPr>
        <w:pStyle w:val="23"/>
        <w:spacing w:line="440" w:lineRule="exact"/>
        <w:jc w:val="left"/>
        <w:rPr>
          <w:rFonts w:hAnsi="宋体" w:cs="宋体"/>
          <w:b/>
          <w:color w:val="auto"/>
          <w:highlight w:val="none"/>
        </w:rPr>
      </w:pPr>
    </w:p>
    <w:p>
      <w:pPr>
        <w:pStyle w:val="23"/>
        <w:spacing w:line="440" w:lineRule="exact"/>
        <w:jc w:val="left"/>
        <w:rPr>
          <w:rFonts w:hAnsi="宋体" w:cs="宋体"/>
          <w:b/>
          <w:color w:val="auto"/>
          <w:highlight w:val="none"/>
        </w:rPr>
      </w:pPr>
    </w:p>
    <w:p>
      <w:pPr>
        <w:pStyle w:val="23"/>
        <w:spacing w:line="440" w:lineRule="exact"/>
        <w:jc w:val="left"/>
        <w:rPr>
          <w:rFonts w:hAnsi="宋体" w:cs="宋体"/>
          <w:b/>
          <w:color w:val="auto"/>
          <w:highlight w:val="none"/>
        </w:rPr>
      </w:pPr>
    </w:p>
    <w:p>
      <w:pPr>
        <w:pStyle w:val="23"/>
        <w:spacing w:line="440" w:lineRule="exact"/>
        <w:jc w:val="left"/>
        <w:rPr>
          <w:rFonts w:hAnsi="宋体" w:cs="宋体"/>
          <w:b/>
          <w:color w:val="auto"/>
          <w:highlight w:val="none"/>
        </w:rPr>
      </w:pPr>
    </w:p>
    <w:p>
      <w:pPr>
        <w:pStyle w:val="23"/>
        <w:spacing w:line="440" w:lineRule="exact"/>
        <w:jc w:val="left"/>
        <w:rPr>
          <w:rFonts w:hAnsi="宋体" w:cs="宋体"/>
          <w:b/>
          <w:color w:val="auto"/>
          <w:highlight w:val="none"/>
        </w:rPr>
      </w:pPr>
    </w:p>
    <w:p>
      <w:pPr>
        <w:pStyle w:val="23"/>
        <w:spacing w:line="440" w:lineRule="exact"/>
        <w:jc w:val="left"/>
        <w:rPr>
          <w:rFonts w:hAnsi="宋体" w:cs="宋体"/>
          <w:b/>
          <w:color w:val="auto"/>
          <w:highlight w:val="none"/>
        </w:rPr>
      </w:pPr>
    </w:p>
    <w:p>
      <w:pPr>
        <w:pStyle w:val="23"/>
        <w:spacing w:line="440" w:lineRule="exact"/>
        <w:jc w:val="left"/>
        <w:rPr>
          <w:rFonts w:hAnsi="宋体" w:cs="宋体"/>
          <w:b/>
          <w:color w:val="auto"/>
          <w:highlight w:val="none"/>
        </w:rPr>
      </w:pPr>
    </w:p>
    <w:p>
      <w:pPr>
        <w:pStyle w:val="23"/>
        <w:spacing w:line="440" w:lineRule="exact"/>
        <w:jc w:val="left"/>
        <w:rPr>
          <w:rFonts w:hAnsi="宋体" w:cs="宋体"/>
          <w:b/>
          <w:color w:val="auto"/>
          <w:highlight w:val="none"/>
        </w:rPr>
      </w:pPr>
    </w:p>
    <w:p>
      <w:pPr>
        <w:pStyle w:val="23"/>
        <w:spacing w:line="440" w:lineRule="exact"/>
        <w:jc w:val="left"/>
        <w:rPr>
          <w:rFonts w:hAnsi="宋体" w:cs="宋体"/>
          <w:b/>
          <w:color w:val="auto"/>
          <w:highlight w:val="none"/>
        </w:rPr>
      </w:pPr>
    </w:p>
    <w:p>
      <w:pPr>
        <w:pStyle w:val="23"/>
        <w:spacing w:line="440" w:lineRule="exact"/>
        <w:jc w:val="left"/>
        <w:rPr>
          <w:rFonts w:hAnsi="宋体" w:cs="宋体"/>
          <w:b/>
          <w:color w:val="auto"/>
          <w:highlight w:val="none"/>
        </w:rPr>
      </w:pPr>
    </w:p>
    <w:p>
      <w:pPr>
        <w:pStyle w:val="23"/>
        <w:spacing w:line="440" w:lineRule="exact"/>
        <w:jc w:val="left"/>
        <w:rPr>
          <w:rFonts w:hAnsi="宋体" w:cs="宋体"/>
          <w:b/>
          <w:color w:val="auto"/>
          <w:sz w:val="21"/>
          <w:highlight w:val="none"/>
        </w:rPr>
      </w:pPr>
      <w:r>
        <w:rPr>
          <w:rFonts w:hint="eastAsia" w:hAnsi="宋体" w:cs="宋体"/>
          <w:b/>
          <w:color w:val="auto"/>
          <w:sz w:val="21"/>
          <w:highlight w:val="none"/>
        </w:rPr>
        <w:t>七、实施方案</w:t>
      </w:r>
    </w:p>
    <w:p>
      <w:pPr>
        <w:pStyle w:val="23"/>
        <w:spacing w:line="440" w:lineRule="exact"/>
        <w:jc w:val="center"/>
        <w:rPr>
          <w:rFonts w:hAnsi="宋体" w:cs="宋体"/>
          <w:color w:val="auto"/>
          <w:sz w:val="32"/>
          <w:szCs w:val="32"/>
          <w:highlight w:val="none"/>
        </w:rPr>
      </w:pPr>
    </w:p>
    <w:p>
      <w:pPr>
        <w:pStyle w:val="23"/>
        <w:spacing w:line="440" w:lineRule="exact"/>
        <w:jc w:val="center"/>
        <w:rPr>
          <w:rFonts w:hAnsi="宋体" w:cs="宋体"/>
          <w:color w:val="auto"/>
          <w:sz w:val="32"/>
          <w:szCs w:val="32"/>
          <w:highlight w:val="none"/>
        </w:rPr>
      </w:pPr>
      <w:r>
        <w:rPr>
          <w:rFonts w:hint="eastAsia" w:hAnsi="宋体" w:cs="宋体"/>
          <w:color w:val="auto"/>
          <w:sz w:val="32"/>
          <w:szCs w:val="32"/>
          <w:highlight w:val="none"/>
        </w:rPr>
        <w:t>实施方案</w:t>
      </w:r>
    </w:p>
    <w:p>
      <w:pPr>
        <w:pStyle w:val="23"/>
        <w:spacing w:line="440" w:lineRule="exact"/>
        <w:rPr>
          <w:rFonts w:hAnsi="宋体" w:cs="宋体"/>
          <w:color w:val="auto"/>
          <w:sz w:val="21"/>
          <w:highlight w:val="none"/>
        </w:rPr>
      </w:pPr>
    </w:p>
    <w:p>
      <w:pPr>
        <w:pStyle w:val="23"/>
        <w:spacing w:line="440" w:lineRule="exact"/>
        <w:rPr>
          <w:rFonts w:hAnsi="宋体" w:cs="宋体"/>
          <w:color w:val="auto"/>
          <w:sz w:val="21"/>
          <w:highlight w:val="none"/>
        </w:rPr>
      </w:pPr>
    </w:p>
    <w:p>
      <w:pPr>
        <w:pStyle w:val="23"/>
        <w:spacing w:line="440" w:lineRule="exact"/>
        <w:rPr>
          <w:rFonts w:hAnsi="宋体" w:cs="宋体"/>
          <w:color w:val="auto"/>
          <w:sz w:val="21"/>
          <w:highlight w:val="none"/>
        </w:rPr>
      </w:pPr>
    </w:p>
    <w:p>
      <w:pPr>
        <w:pStyle w:val="23"/>
        <w:spacing w:line="440" w:lineRule="exact"/>
        <w:rPr>
          <w:rFonts w:hAnsi="宋体" w:cs="宋体"/>
          <w:color w:val="auto"/>
          <w:sz w:val="21"/>
          <w:highlight w:val="none"/>
        </w:rPr>
      </w:pPr>
    </w:p>
    <w:p>
      <w:pPr>
        <w:pStyle w:val="23"/>
        <w:spacing w:line="440" w:lineRule="exact"/>
        <w:rPr>
          <w:rFonts w:hAnsi="宋体" w:cs="宋体"/>
          <w:color w:val="auto"/>
          <w:sz w:val="21"/>
          <w:highlight w:val="none"/>
        </w:rPr>
      </w:pPr>
    </w:p>
    <w:p>
      <w:pPr>
        <w:pStyle w:val="23"/>
        <w:spacing w:line="440" w:lineRule="exact"/>
        <w:rPr>
          <w:rFonts w:hAnsi="宋体" w:cs="宋体"/>
          <w:color w:val="auto"/>
          <w:sz w:val="21"/>
          <w:highlight w:val="none"/>
        </w:rPr>
      </w:pPr>
    </w:p>
    <w:p>
      <w:pPr>
        <w:pStyle w:val="23"/>
        <w:spacing w:line="440" w:lineRule="exact"/>
        <w:rPr>
          <w:rFonts w:hAnsi="宋体" w:cs="宋体"/>
          <w:color w:val="auto"/>
          <w:sz w:val="21"/>
          <w:highlight w:val="none"/>
        </w:rPr>
      </w:pPr>
    </w:p>
    <w:p>
      <w:pPr>
        <w:pStyle w:val="23"/>
        <w:spacing w:line="440" w:lineRule="exact"/>
        <w:rPr>
          <w:rFonts w:hAnsi="宋体" w:cs="宋体"/>
          <w:color w:val="auto"/>
          <w:sz w:val="21"/>
          <w:highlight w:val="none"/>
        </w:rPr>
      </w:pPr>
    </w:p>
    <w:p>
      <w:pPr>
        <w:pStyle w:val="23"/>
        <w:spacing w:line="440" w:lineRule="exact"/>
        <w:rPr>
          <w:rFonts w:hAnsi="宋体" w:cs="宋体"/>
          <w:color w:val="auto"/>
          <w:sz w:val="21"/>
          <w:highlight w:val="none"/>
        </w:rPr>
      </w:pPr>
    </w:p>
    <w:p>
      <w:pPr>
        <w:pStyle w:val="23"/>
        <w:spacing w:line="440" w:lineRule="exact"/>
        <w:rPr>
          <w:rFonts w:hAnsi="宋体" w:cs="宋体"/>
          <w:color w:val="auto"/>
          <w:sz w:val="21"/>
          <w:highlight w:val="none"/>
        </w:rPr>
      </w:pPr>
    </w:p>
    <w:p>
      <w:pPr>
        <w:pStyle w:val="23"/>
        <w:spacing w:line="440" w:lineRule="exact"/>
        <w:rPr>
          <w:rFonts w:hAnsi="宋体" w:cs="宋体"/>
          <w:color w:val="auto"/>
          <w:sz w:val="21"/>
          <w:highlight w:val="none"/>
        </w:rPr>
      </w:pPr>
    </w:p>
    <w:p>
      <w:pPr>
        <w:pStyle w:val="23"/>
        <w:spacing w:line="440" w:lineRule="exact"/>
        <w:rPr>
          <w:rFonts w:hAnsi="宋体" w:cs="宋体"/>
          <w:color w:val="auto"/>
          <w:sz w:val="21"/>
          <w:highlight w:val="none"/>
        </w:rPr>
      </w:pPr>
    </w:p>
    <w:p>
      <w:pPr>
        <w:pStyle w:val="23"/>
        <w:spacing w:line="440" w:lineRule="exact"/>
        <w:rPr>
          <w:rFonts w:hAnsi="宋体" w:cs="宋体"/>
          <w:color w:val="auto"/>
          <w:sz w:val="21"/>
          <w:highlight w:val="none"/>
        </w:rPr>
      </w:pPr>
    </w:p>
    <w:p>
      <w:pPr>
        <w:pStyle w:val="23"/>
        <w:spacing w:line="440" w:lineRule="exact"/>
        <w:rPr>
          <w:rFonts w:hAnsi="宋体" w:cs="宋体"/>
          <w:color w:val="auto"/>
          <w:sz w:val="21"/>
          <w:highlight w:val="none"/>
        </w:rPr>
      </w:pPr>
    </w:p>
    <w:p>
      <w:pPr>
        <w:pStyle w:val="23"/>
        <w:spacing w:line="440" w:lineRule="exact"/>
        <w:rPr>
          <w:rFonts w:hAnsi="宋体" w:cs="宋体"/>
          <w:color w:val="auto"/>
          <w:sz w:val="21"/>
          <w:highlight w:val="none"/>
        </w:rPr>
      </w:pPr>
    </w:p>
    <w:p>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pPr>
        <w:spacing w:line="44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pPr>
        <w:rPr>
          <w:rFonts w:ascii="宋体" w:hAnsi="宋体" w:cs="宋体"/>
          <w:color w:val="auto"/>
          <w:szCs w:val="21"/>
          <w:highlight w:val="none"/>
        </w:rPr>
      </w:pPr>
    </w:p>
    <w:p>
      <w:pPr>
        <w:snapToGrid w:val="0"/>
        <w:spacing w:before="50" w:line="440" w:lineRule="exact"/>
        <w:jc w:val="left"/>
        <w:rPr>
          <w:rFonts w:ascii="宋体" w:hAnsi="宋体" w:cs="宋体"/>
          <w:b/>
          <w:color w:val="auto"/>
          <w:szCs w:val="21"/>
          <w:highlight w:val="none"/>
        </w:rPr>
      </w:pPr>
    </w:p>
    <w:p>
      <w:pPr>
        <w:snapToGrid w:val="0"/>
        <w:spacing w:before="50" w:line="440" w:lineRule="exact"/>
        <w:jc w:val="left"/>
        <w:rPr>
          <w:rFonts w:ascii="宋体" w:hAnsi="宋体" w:cs="宋体"/>
          <w:b/>
          <w:color w:val="auto"/>
          <w:szCs w:val="21"/>
          <w:highlight w:val="none"/>
        </w:rPr>
        <w:sectPr>
          <w:pgSz w:w="11906" w:h="16838"/>
          <w:pgMar w:top="1134" w:right="1247" w:bottom="1134" w:left="1247" w:header="851" w:footer="992" w:gutter="0"/>
          <w:cols w:space="720" w:num="1"/>
          <w:docGrid w:linePitch="312" w:charSpace="0"/>
        </w:sectPr>
      </w:pPr>
    </w:p>
    <w:p>
      <w:pPr>
        <w:snapToGrid w:val="0"/>
        <w:spacing w:before="50" w:line="440" w:lineRule="exact"/>
        <w:jc w:val="left"/>
        <w:rPr>
          <w:rFonts w:ascii="宋体" w:hAnsi="宋体" w:cs="宋体"/>
          <w:b/>
          <w:color w:val="auto"/>
          <w:szCs w:val="21"/>
          <w:highlight w:val="none"/>
        </w:rPr>
      </w:pPr>
      <w:r>
        <w:rPr>
          <w:rFonts w:hint="eastAsia" w:ascii="宋体" w:hAnsi="宋体" w:cs="宋体"/>
          <w:b/>
          <w:color w:val="auto"/>
          <w:szCs w:val="21"/>
          <w:highlight w:val="none"/>
        </w:rPr>
        <w:t>八、供应商同类项目业绩证明</w:t>
      </w:r>
    </w:p>
    <w:p>
      <w:pPr>
        <w:pStyle w:val="30"/>
        <w:snapToGrid w:val="0"/>
        <w:spacing w:line="440" w:lineRule="exact"/>
        <w:ind w:left="0"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供应商同类项目业绩一览表（供应商同类项目合同或中标/成交通知书复印件、用户验收报告、用户评价意见格式自拟）</w:t>
      </w:r>
    </w:p>
    <w:tbl>
      <w:tblPr>
        <w:tblStyle w:val="41"/>
        <w:tblW w:w="898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02"/>
        <w:gridCol w:w="1277"/>
        <w:gridCol w:w="1081"/>
        <w:gridCol w:w="1080"/>
        <w:gridCol w:w="958"/>
        <w:gridCol w:w="1087"/>
        <w:gridCol w:w="540"/>
        <w:gridCol w:w="533"/>
        <w:gridCol w:w="13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102"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采购单位名称</w:t>
            </w:r>
          </w:p>
        </w:tc>
        <w:tc>
          <w:tcPr>
            <w:tcW w:w="127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1081"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采购</w:t>
            </w:r>
          </w:p>
          <w:p>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宋体" w:hAnsi="宋体" w:cs="宋体"/>
                <w:color w:val="auto"/>
                <w:szCs w:val="21"/>
                <w:highlight w:val="none"/>
              </w:rPr>
            </w:pPr>
          </w:p>
        </w:tc>
        <w:tc>
          <w:tcPr>
            <w:tcW w:w="95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合同</w:t>
            </w:r>
          </w:p>
          <w:p>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金额</w:t>
            </w:r>
          </w:p>
          <w:p>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216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附件页码</w:t>
            </w:r>
          </w:p>
        </w:tc>
        <w:tc>
          <w:tcPr>
            <w:tcW w:w="132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采购单位联系人及</w:t>
            </w:r>
          </w:p>
          <w:p>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10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color w:val="auto"/>
                <w:szCs w:val="21"/>
                <w:highlight w:val="none"/>
              </w:rPr>
            </w:pPr>
          </w:p>
        </w:tc>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color w:val="auto"/>
                <w:szCs w:val="21"/>
                <w:highlight w:val="none"/>
              </w:rPr>
            </w:pPr>
          </w:p>
        </w:tc>
        <w:tc>
          <w:tcPr>
            <w:tcW w:w="10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color w:val="auto"/>
                <w:szCs w:val="21"/>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color w:val="auto"/>
                <w:szCs w:val="21"/>
                <w:highlight w:val="none"/>
              </w:rPr>
            </w:pPr>
          </w:p>
        </w:tc>
        <w:tc>
          <w:tcPr>
            <w:tcW w:w="95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color w:val="auto"/>
                <w:szCs w:val="21"/>
                <w:highlight w:val="none"/>
              </w:rPr>
            </w:pPr>
          </w:p>
        </w:tc>
        <w:tc>
          <w:tcPr>
            <w:tcW w:w="1087"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合同或中标/成交通知书</w:t>
            </w:r>
          </w:p>
        </w:tc>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验收报告</w:t>
            </w:r>
          </w:p>
        </w:tc>
        <w:tc>
          <w:tcPr>
            <w:tcW w:w="533"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用户评价</w:t>
            </w:r>
          </w:p>
        </w:tc>
        <w:tc>
          <w:tcPr>
            <w:tcW w:w="13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102" w:type="dxa"/>
            <w:tcBorders>
              <w:top w:val="single" w:color="auto" w:sz="4" w:space="0"/>
              <w:left w:val="single" w:color="auto" w:sz="4" w:space="0"/>
              <w:bottom w:val="single" w:color="auto" w:sz="4" w:space="0"/>
              <w:right w:val="single" w:color="auto" w:sz="4" w:space="0"/>
            </w:tcBorders>
          </w:tcPr>
          <w:p>
            <w:pPr>
              <w:snapToGrid w:val="0"/>
              <w:spacing w:line="440" w:lineRule="exact"/>
              <w:jc w:val="left"/>
              <w:rPr>
                <w:rFonts w:ascii="宋体" w:hAnsi="宋体" w:cs="宋体"/>
                <w:color w:val="auto"/>
                <w:szCs w:val="21"/>
                <w:highlight w:val="none"/>
              </w:rPr>
            </w:pPr>
          </w:p>
        </w:tc>
        <w:tc>
          <w:tcPr>
            <w:tcW w:w="1277" w:type="dxa"/>
            <w:tcBorders>
              <w:top w:val="single" w:color="auto" w:sz="4" w:space="0"/>
              <w:left w:val="single" w:color="auto" w:sz="4" w:space="0"/>
              <w:bottom w:val="single" w:color="auto" w:sz="4" w:space="0"/>
              <w:right w:val="single" w:color="auto" w:sz="4" w:space="0"/>
            </w:tcBorders>
          </w:tcPr>
          <w:p>
            <w:pPr>
              <w:snapToGrid w:val="0"/>
              <w:spacing w:line="440" w:lineRule="exact"/>
              <w:jc w:val="left"/>
              <w:rPr>
                <w:rFonts w:ascii="宋体" w:hAnsi="宋体" w:cs="宋体"/>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tcPr>
          <w:p>
            <w:pPr>
              <w:snapToGrid w:val="0"/>
              <w:spacing w:line="440" w:lineRule="exact"/>
              <w:jc w:val="left"/>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snapToGrid w:val="0"/>
              <w:spacing w:line="440" w:lineRule="exact"/>
              <w:jc w:val="left"/>
              <w:rPr>
                <w:rFonts w:ascii="宋体" w:hAnsi="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pPr>
              <w:snapToGrid w:val="0"/>
              <w:spacing w:line="440" w:lineRule="exact"/>
              <w:jc w:val="left"/>
              <w:rPr>
                <w:rFonts w:ascii="宋体" w:hAnsi="宋体" w:cs="宋体"/>
                <w:color w:val="auto"/>
                <w:szCs w:val="21"/>
                <w:highlight w:val="none"/>
              </w:rPr>
            </w:pPr>
          </w:p>
        </w:tc>
        <w:tc>
          <w:tcPr>
            <w:tcW w:w="1087" w:type="dxa"/>
            <w:tcBorders>
              <w:top w:val="single" w:color="auto" w:sz="4" w:space="0"/>
              <w:left w:val="single" w:color="auto" w:sz="4" w:space="0"/>
              <w:bottom w:val="single" w:color="auto" w:sz="4" w:space="0"/>
              <w:right w:val="single" w:color="auto" w:sz="4" w:space="0"/>
            </w:tcBorders>
          </w:tcPr>
          <w:p>
            <w:pPr>
              <w:snapToGrid w:val="0"/>
              <w:spacing w:line="440" w:lineRule="exact"/>
              <w:jc w:val="left"/>
              <w:rPr>
                <w:rFonts w:ascii="宋体" w:hAnsi="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tcPr>
          <w:p>
            <w:pPr>
              <w:snapToGrid w:val="0"/>
              <w:spacing w:line="440" w:lineRule="exact"/>
              <w:jc w:val="left"/>
              <w:rPr>
                <w:rFonts w:ascii="宋体" w:hAnsi="宋体" w:cs="宋体"/>
                <w:color w:val="auto"/>
                <w:szCs w:val="21"/>
                <w:highlight w:val="none"/>
              </w:rPr>
            </w:pPr>
          </w:p>
        </w:tc>
        <w:tc>
          <w:tcPr>
            <w:tcW w:w="533" w:type="dxa"/>
            <w:tcBorders>
              <w:top w:val="single" w:color="auto" w:sz="4" w:space="0"/>
              <w:left w:val="single" w:color="auto" w:sz="4" w:space="0"/>
              <w:bottom w:val="single" w:color="auto" w:sz="4" w:space="0"/>
              <w:right w:val="single" w:color="auto" w:sz="4" w:space="0"/>
            </w:tcBorders>
          </w:tcPr>
          <w:p>
            <w:pPr>
              <w:snapToGrid w:val="0"/>
              <w:spacing w:line="440" w:lineRule="exact"/>
              <w:jc w:val="left"/>
              <w:rPr>
                <w:rFonts w:ascii="宋体" w:hAnsi="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pPr>
              <w:snapToGrid w:val="0"/>
              <w:spacing w:line="440" w:lineRule="exact"/>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0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127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108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53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10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127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108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53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0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127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108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53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0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127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108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53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r>
    </w:tbl>
    <w:p>
      <w:pPr>
        <w:pStyle w:val="15"/>
        <w:snapToGrid w:val="0"/>
        <w:spacing w:line="440" w:lineRule="exact"/>
        <w:rPr>
          <w:rFonts w:ascii="宋体" w:hAnsi="宋体" w:eastAsia="宋体" w:cs="宋体"/>
          <w:color w:val="auto"/>
          <w:sz w:val="21"/>
          <w:szCs w:val="21"/>
          <w:highlight w:val="none"/>
        </w:rPr>
      </w:pPr>
    </w:p>
    <w:p>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pPr>
        <w:spacing w:line="44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napToGrid w:val="0"/>
        <w:spacing w:before="50" w:line="440" w:lineRule="exact"/>
        <w:jc w:val="left"/>
        <w:rPr>
          <w:rFonts w:ascii="宋体" w:hAnsi="宋体" w:cs="宋体"/>
          <w:b/>
          <w:color w:val="auto"/>
          <w:sz w:val="24"/>
          <w:highlight w:val="none"/>
        </w:rPr>
      </w:pPr>
      <w:r>
        <w:rPr>
          <w:rFonts w:hint="eastAsia" w:ascii="宋体" w:hAnsi="宋体" w:cs="宋体"/>
          <w:b/>
          <w:color w:val="auto"/>
          <w:sz w:val="24"/>
          <w:highlight w:val="none"/>
        </w:rPr>
        <w:t>十、 代理服务费承诺书格式</w:t>
      </w:r>
    </w:p>
    <w:p>
      <w:pPr>
        <w:snapToGrid w:val="0"/>
        <w:spacing w:before="120" w:beforeLines="50" w:after="50" w:line="440" w:lineRule="exact"/>
        <w:rPr>
          <w:rFonts w:ascii="宋体" w:hAnsi="宋体" w:cs="宋体"/>
          <w:color w:val="auto"/>
          <w:szCs w:val="21"/>
          <w:highlight w:val="none"/>
        </w:rPr>
      </w:pPr>
      <w:r>
        <w:rPr>
          <w:rFonts w:hint="eastAsia" w:ascii="宋体" w:hAnsi="宋体" w:cs="宋体"/>
          <w:color w:val="auto"/>
          <w:szCs w:val="21"/>
          <w:highlight w:val="none"/>
        </w:rPr>
        <w:t>致：广西德元工程项目管理有限责任公司</w:t>
      </w:r>
    </w:p>
    <w:p>
      <w:pPr>
        <w:snapToGrid w:val="0"/>
        <w:spacing w:before="120" w:beforeLines="50" w:after="50"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我单位参加了贵方组织的采购项目编号为（）的磋商，在此我方说明如下：</w:t>
      </w:r>
    </w:p>
    <w:p>
      <w:pPr>
        <w:numPr>
          <w:ilvl w:val="0"/>
          <w:numId w:val="2"/>
        </w:numPr>
        <w:snapToGrid w:val="0"/>
        <w:spacing w:before="120" w:beforeLines="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我方承诺，若我单位中标，保证在领取成交通知书之前，按本项目磋商文件的规定标准向贵单位一次性足额支付代理服务费。</w:t>
      </w:r>
    </w:p>
    <w:p>
      <w:pPr>
        <w:snapToGrid w:val="0"/>
        <w:spacing w:before="120" w:beforeLines="50" w:after="50"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 我单位选择第   种方式作为代理服务费开票类型：</w:t>
      </w:r>
    </w:p>
    <w:p>
      <w:pPr>
        <w:snapToGrid w:val="0"/>
        <w:spacing w:before="120" w:beforeLines="50" w:after="50"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第一种方式：开具收据。</w:t>
      </w:r>
    </w:p>
    <w:p>
      <w:pPr>
        <w:snapToGrid w:val="0"/>
        <w:spacing w:before="120" w:beforeLines="50" w:after="50"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第二种方式：开具增值税普通发票。开票信息如下：1.公司名称；2.纳税人识别号；</w:t>
      </w:r>
    </w:p>
    <w:p>
      <w:pPr>
        <w:snapToGrid w:val="0"/>
        <w:spacing w:before="120" w:beforeLines="50" w:after="50"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第三种方式：开具增值税专用发票，开票信息如下：1.公司名称；2.纳税人识别号；3.税局登记地址；4.税局登记电话；5.开户银行；6.银行账户。</w:t>
      </w:r>
    </w:p>
    <w:p>
      <w:pPr>
        <w:snapToGrid w:val="0"/>
        <w:spacing w:before="50" w:after="120" w:afterLines="50" w:line="440" w:lineRule="exact"/>
        <w:jc w:val="left"/>
        <w:rPr>
          <w:rFonts w:ascii="宋体" w:hAnsi="宋体" w:cs="宋体"/>
          <w:b/>
          <w:color w:val="auto"/>
          <w:sz w:val="24"/>
          <w:highlight w:val="none"/>
        </w:rPr>
      </w:pPr>
    </w:p>
    <w:p>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pPr>
        <w:spacing w:line="44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pPr>
        <w:snapToGrid w:val="0"/>
        <w:spacing w:before="120" w:beforeLines="50" w:after="50" w:line="440" w:lineRule="exact"/>
        <w:rPr>
          <w:rFonts w:ascii="宋体" w:hAnsi="宋体" w:cs="宋体"/>
          <w:b/>
          <w:bCs/>
          <w:color w:val="auto"/>
          <w:szCs w:val="21"/>
          <w:highlight w:val="none"/>
        </w:rPr>
      </w:pPr>
    </w:p>
    <w:p>
      <w:pPr>
        <w:snapToGrid w:val="0"/>
        <w:spacing w:before="120" w:beforeLines="50" w:after="50" w:line="440" w:lineRule="exact"/>
        <w:rPr>
          <w:rFonts w:ascii="宋体" w:hAnsi="宋体" w:cs="宋体"/>
          <w:b/>
          <w:bCs/>
          <w:color w:val="auto"/>
          <w:szCs w:val="21"/>
          <w:highlight w:val="none"/>
        </w:rPr>
      </w:pPr>
    </w:p>
    <w:p>
      <w:pPr>
        <w:snapToGrid w:val="0"/>
        <w:spacing w:before="120" w:beforeLines="50" w:after="50" w:line="440" w:lineRule="exact"/>
        <w:rPr>
          <w:rFonts w:ascii="宋体" w:hAnsi="宋体" w:cs="宋体"/>
          <w:b/>
          <w:bCs/>
          <w:color w:val="auto"/>
          <w:szCs w:val="21"/>
          <w:highlight w:val="none"/>
        </w:rPr>
      </w:pPr>
    </w:p>
    <w:p>
      <w:pPr>
        <w:snapToGrid w:val="0"/>
        <w:spacing w:before="120" w:beforeLines="50" w:after="50" w:line="440" w:lineRule="exact"/>
        <w:rPr>
          <w:rFonts w:ascii="宋体" w:hAnsi="宋体" w:cs="宋体"/>
          <w:b/>
          <w:bCs/>
          <w:color w:val="auto"/>
          <w:szCs w:val="21"/>
          <w:highlight w:val="none"/>
        </w:rPr>
      </w:pPr>
    </w:p>
    <w:p>
      <w:pPr>
        <w:snapToGrid w:val="0"/>
        <w:spacing w:before="120" w:beforeLines="50" w:after="50" w:line="440" w:lineRule="exact"/>
        <w:rPr>
          <w:rFonts w:ascii="宋体" w:hAnsi="宋体" w:cs="宋体"/>
          <w:b/>
          <w:bCs/>
          <w:color w:val="auto"/>
          <w:szCs w:val="21"/>
          <w:highlight w:val="none"/>
        </w:rPr>
      </w:pPr>
    </w:p>
    <w:p>
      <w:pPr>
        <w:snapToGrid w:val="0"/>
        <w:spacing w:before="120" w:beforeLines="50" w:after="50" w:line="440" w:lineRule="exact"/>
        <w:rPr>
          <w:rFonts w:ascii="宋体" w:hAnsi="宋体" w:cs="宋体"/>
          <w:b/>
          <w:bCs/>
          <w:color w:val="auto"/>
          <w:szCs w:val="21"/>
          <w:highlight w:val="none"/>
        </w:rPr>
      </w:pPr>
    </w:p>
    <w:p>
      <w:pPr>
        <w:snapToGrid w:val="0"/>
        <w:spacing w:before="120" w:beforeLines="50" w:after="50" w:line="440" w:lineRule="exact"/>
        <w:rPr>
          <w:rFonts w:ascii="宋体" w:hAnsi="宋体" w:cs="宋体"/>
          <w:b/>
          <w:bCs/>
          <w:color w:val="auto"/>
          <w:szCs w:val="21"/>
          <w:highlight w:val="none"/>
        </w:rPr>
      </w:pPr>
    </w:p>
    <w:p>
      <w:pPr>
        <w:snapToGrid w:val="0"/>
        <w:spacing w:before="120" w:beforeLines="50" w:after="50" w:line="440" w:lineRule="exact"/>
        <w:rPr>
          <w:rFonts w:ascii="宋体" w:hAnsi="宋体" w:cs="宋体"/>
          <w:b/>
          <w:bCs/>
          <w:color w:val="auto"/>
          <w:szCs w:val="21"/>
          <w:highlight w:val="none"/>
        </w:rPr>
      </w:pPr>
    </w:p>
    <w:p>
      <w:pPr>
        <w:snapToGrid w:val="0"/>
        <w:spacing w:before="120" w:beforeLines="50" w:after="50" w:line="440" w:lineRule="exact"/>
        <w:rPr>
          <w:rFonts w:ascii="宋体" w:hAnsi="宋体" w:cs="宋体"/>
          <w:b/>
          <w:bCs/>
          <w:color w:val="auto"/>
          <w:szCs w:val="21"/>
          <w:highlight w:val="none"/>
        </w:rPr>
      </w:pPr>
    </w:p>
    <w:p>
      <w:pPr>
        <w:snapToGrid w:val="0"/>
        <w:spacing w:before="120" w:beforeLines="50" w:after="50" w:line="440" w:lineRule="exact"/>
        <w:rPr>
          <w:rFonts w:ascii="宋体" w:hAnsi="宋体" w:cs="宋体"/>
          <w:b/>
          <w:bCs/>
          <w:color w:val="auto"/>
          <w:szCs w:val="21"/>
          <w:highlight w:val="none"/>
        </w:rPr>
      </w:pPr>
    </w:p>
    <w:p>
      <w:pPr>
        <w:snapToGrid w:val="0"/>
        <w:spacing w:before="120" w:beforeLines="50" w:after="50" w:line="440" w:lineRule="exact"/>
        <w:rPr>
          <w:rFonts w:ascii="宋体" w:hAnsi="宋体" w:cs="宋体"/>
          <w:b/>
          <w:bCs/>
          <w:color w:val="auto"/>
          <w:szCs w:val="21"/>
          <w:highlight w:val="none"/>
        </w:rPr>
      </w:pPr>
    </w:p>
    <w:p>
      <w:pPr>
        <w:snapToGrid w:val="0"/>
        <w:spacing w:before="120" w:beforeLines="50" w:after="50" w:line="440" w:lineRule="exact"/>
        <w:rPr>
          <w:rFonts w:ascii="宋体" w:hAnsi="宋体" w:cs="宋体"/>
          <w:b/>
          <w:bCs/>
          <w:color w:val="auto"/>
          <w:szCs w:val="21"/>
          <w:highlight w:val="none"/>
        </w:rPr>
      </w:pPr>
    </w:p>
    <w:p>
      <w:pPr>
        <w:snapToGrid w:val="0"/>
        <w:spacing w:before="120" w:beforeLines="50" w:after="50" w:line="440" w:lineRule="exact"/>
        <w:rPr>
          <w:rFonts w:ascii="宋体" w:hAnsi="宋体" w:cs="宋体"/>
          <w:b/>
          <w:bCs/>
          <w:color w:val="auto"/>
          <w:szCs w:val="21"/>
          <w:highlight w:val="none"/>
        </w:rPr>
      </w:pPr>
    </w:p>
    <w:p>
      <w:pPr>
        <w:snapToGrid w:val="0"/>
        <w:spacing w:before="120" w:beforeLines="50" w:after="50" w:line="440" w:lineRule="exact"/>
        <w:rPr>
          <w:rFonts w:ascii="宋体" w:hAnsi="宋体" w:cs="宋体"/>
          <w:b/>
          <w:bCs/>
          <w:color w:val="auto"/>
          <w:szCs w:val="21"/>
          <w:highlight w:val="none"/>
        </w:rPr>
      </w:pPr>
      <w:r>
        <w:rPr>
          <w:rFonts w:hint="eastAsia" w:ascii="宋体" w:hAnsi="宋体" w:cs="宋体"/>
          <w:b/>
          <w:bCs/>
          <w:color w:val="auto"/>
          <w:szCs w:val="21"/>
          <w:highlight w:val="none"/>
        </w:rPr>
        <w:t>3、报价文件格式：</w:t>
      </w: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napToGrid w:val="0"/>
        <w:spacing w:before="120" w:beforeLines="50" w:after="50" w:line="440" w:lineRule="exact"/>
        <w:ind w:firstLine="8" w:firstLineChars="3"/>
        <w:jc w:val="right"/>
        <w:rPr>
          <w:rFonts w:ascii="宋体" w:hAnsi="宋体" w:cs="宋体"/>
          <w:bCs/>
          <w:color w:val="auto"/>
          <w:sz w:val="28"/>
          <w:szCs w:val="28"/>
          <w:highlight w:val="none"/>
        </w:rPr>
      </w:pPr>
      <w:r>
        <w:rPr>
          <w:rFonts w:hint="eastAsia" w:ascii="宋体" w:hAnsi="宋体" w:cs="宋体"/>
          <w:bCs/>
          <w:color w:val="auto"/>
          <w:sz w:val="28"/>
          <w:szCs w:val="28"/>
          <w:highlight w:val="none"/>
        </w:rPr>
        <w:t>电子响应文件</w:t>
      </w:r>
    </w:p>
    <w:p>
      <w:pPr>
        <w:snapToGrid w:val="0"/>
        <w:spacing w:before="120" w:beforeLines="50" w:after="50" w:line="440" w:lineRule="exact"/>
        <w:ind w:firstLine="9" w:firstLineChars="3"/>
        <w:jc w:val="center"/>
        <w:rPr>
          <w:rFonts w:ascii="宋体" w:hAnsi="宋体" w:cs="宋体"/>
          <w:bCs/>
          <w:color w:val="auto"/>
          <w:sz w:val="32"/>
          <w:szCs w:val="32"/>
          <w:highlight w:val="none"/>
        </w:rPr>
      </w:pPr>
    </w:p>
    <w:p>
      <w:pPr>
        <w:snapToGrid w:val="0"/>
        <w:spacing w:before="120" w:beforeLines="50" w:after="50" w:line="440" w:lineRule="exact"/>
        <w:ind w:firstLine="9" w:firstLineChars="3"/>
        <w:jc w:val="center"/>
        <w:rPr>
          <w:rFonts w:ascii="宋体" w:hAnsi="宋体" w:cs="宋体"/>
          <w:bCs/>
          <w:color w:val="auto"/>
          <w:sz w:val="32"/>
          <w:szCs w:val="32"/>
          <w:highlight w:val="none"/>
        </w:rPr>
      </w:pPr>
    </w:p>
    <w:p>
      <w:pPr>
        <w:snapToGrid w:val="0"/>
        <w:spacing w:before="120" w:beforeLines="50" w:after="50" w:line="440" w:lineRule="exact"/>
        <w:ind w:firstLine="9" w:firstLineChars="3"/>
        <w:jc w:val="center"/>
        <w:rPr>
          <w:rFonts w:ascii="宋体" w:hAnsi="宋体" w:cs="宋体"/>
          <w:bCs/>
          <w:color w:val="auto"/>
          <w:sz w:val="32"/>
          <w:szCs w:val="32"/>
          <w:highlight w:val="none"/>
        </w:rPr>
      </w:pPr>
    </w:p>
    <w:p>
      <w:pPr>
        <w:snapToGrid w:val="0"/>
        <w:spacing w:before="120" w:beforeLines="50" w:after="50" w:line="440" w:lineRule="exact"/>
        <w:ind w:firstLine="13" w:firstLineChars="3"/>
        <w:jc w:val="center"/>
        <w:rPr>
          <w:rFonts w:ascii="宋体" w:hAnsi="宋体" w:cs="宋体"/>
          <w:bCs/>
          <w:color w:val="auto"/>
          <w:sz w:val="44"/>
          <w:szCs w:val="44"/>
          <w:highlight w:val="none"/>
        </w:rPr>
      </w:pPr>
      <w:r>
        <w:rPr>
          <w:rFonts w:hint="eastAsia" w:ascii="宋体" w:hAnsi="宋体" w:cs="宋体"/>
          <w:bCs/>
          <w:color w:val="auto"/>
          <w:sz w:val="44"/>
          <w:szCs w:val="44"/>
          <w:highlight w:val="none"/>
        </w:rPr>
        <w:t>响应文件</w:t>
      </w:r>
    </w:p>
    <w:p>
      <w:pPr>
        <w:snapToGrid w:val="0"/>
        <w:spacing w:before="120" w:beforeLines="50" w:after="50" w:line="440" w:lineRule="exact"/>
        <w:ind w:firstLine="9" w:firstLineChars="3"/>
        <w:jc w:val="center"/>
        <w:rPr>
          <w:rFonts w:ascii="宋体" w:hAnsi="宋体" w:cs="宋体"/>
          <w:bCs/>
          <w:color w:val="auto"/>
          <w:sz w:val="32"/>
          <w:szCs w:val="32"/>
          <w:highlight w:val="none"/>
        </w:rPr>
      </w:pPr>
      <w:r>
        <w:rPr>
          <w:rFonts w:hint="eastAsia" w:ascii="宋体" w:hAnsi="宋体" w:cs="宋体"/>
          <w:bCs/>
          <w:color w:val="auto"/>
          <w:sz w:val="32"/>
          <w:szCs w:val="32"/>
          <w:highlight w:val="none"/>
        </w:rPr>
        <w:t>（报价文件）</w:t>
      </w:r>
    </w:p>
    <w:p>
      <w:pPr>
        <w:snapToGrid w:val="0"/>
        <w:spacing w:before="120" w:beforeLines="50" w:after="50" w:line="440" w:lineRule="exact"/>
        <w:rPr>
          <w:rFonts w:ascii="宋体" w:hAnsi="宋体" w:cs="宋体"/>
          <w:bCs/>
          <w:color w:val="auto"/>
          <w:szCs w:val="21"/>
          <w:highlight w:val="none"/>
        </w:rPr>
      </w:pPr>
    </w:p>
    <w:p>
      <w:pPr>
        <w:snapToGrid w:val="0"/>
        <w:spacing w:before="120" w:beforeLines="50" w:after="50"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项目名称：</w:t>
      </w:r>
    </w:p>
    <w:p>
      <w:pPr>
        <w:snapToGrid w:val="0"/>
        <w:spacing w:before="120" w:beforeLines="50" w:after="50" w:line="440" w:lineRule="exact"/>
        <w:ind w:firstLine="675" w:firstLineChars="225"/>
        <w:rPr>
          <w:rFonts w:ascii="宋体" w:hAnsi="宋体" w:cs="宋体"/>
          <w:bCs/>
          <w:color w:val="auto"/>
          <w:sz w:val="30"/>
          <w:szCs w:val="30"/>
          <w:highlight w:val="none"/>
        </w:rPr>
      </w:pPr>
    </w:p>
    <w:p>
      <w:pPr>
        <w:snapToGrid w:val="0"/>
        <w:spacing w:before="120" w:beforeLines="50" w:after="50"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项目编号：</w:t>
      </w:r>
    </w:p>
    <w:p>
      <w:pPr>
        <w:snapToGrid w:val="0"/>
        <w:spacing w:before="120" w:beforeLines="50" w:after="50" w:line="440" w:lineRule="exact"/>
        <w:ind w:firstLine="675" w:firstLineChars="225"/>
        <w:rPr>
          <w:rFonts w:ascii="宋体" w:hAnsi="宋体" w:cs="宋体"/>
          <w:bCs/>
          <w:color w:val="auto"/>
          <w:sz w:val="30"/>
          <w:szCs w:val="30"/>
          <w:highlight w:val="none"/>
        </w:rPr>
      </w:pPr>
    </w:p>
    <w:p>
      <w:pPr>
        <w:snapToGrid w:val="0"/>
        <w:spacing w:before="120" w:beforeLines="50" w:after="50"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标    项：（如有则填写，无分标时填写“无”或者留空）</w:t>
      </w:r>
    </w:p>
    <w:p>
      <w:pPr>
        <w:snapToGrid w:val="0"/>
        <w:spacing w:before="120" w:beforeLines="50" w:after="50" w:line="440" w:lineRule="exact"/>
        <w:ind w:firstLine="675" w:firstLineChars="225"/>
        <w:rPr>
          <w:rFonts w:ascii="宋体" w:hAnsi="宋体" w:cs="宋体"/>
          <w:bCs/>
          <w:color w:val="auto"/>
          <w:sz w:val="30"/>
          <w:szCs w:val="30"/>
          <w:highlight w:val="none"/>
        </w:rPr>
      </w:pPr>
    </w:p>
    <w:p>
      <w:pPr>
        <w:pStyle w:val="11"/>
        <w:snapToGrid w:val="0"/>
        <w:spacing w:before="100" w:beforeAutospacing="1" w:after="100" w:afterAutospacing="1"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供应商名称：（加盖单位电子公章）</w:t>
      </w:r>
    </w:p>
    <w:p>
      <w:pPr>
        <w:pStyle w:val="11"/>
        <w:snapToGrid w:val="0"/>
        <w:spacing w:before="100" w:beforeAutospacing="1" w:after="100" w:afterAutospacing="1" w:line="440" w:lineRule="exact"/>
        <w:ind w:firstLine="675" w:firstLineChars="225"/>
        <w:rPr>
          <w:rFonts w:ascii="宋体" w:hAnsi="宋体" w:cs="宋体"/>
          <w:bCs/>
          <w:color w:val="auto"/>
          <w:sz w:val="30"/>
          <w:szCs w:val="30"/>
          <w:highlight w:val="none"/>
        </w:rPr>
      </w:pPr>
    </w:p>
    <w:p>
      <w:pPr>
        <w:pStyle w:val="11"/>
        <w:snapToGrid w:val="0"/>
        <w:spacing w:before="100" w:beforeAutospacing="1" w:after="100" w:afterAutospacing="1"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供应商地址：</w:t>
      </w:r>
    </w:p>
    <w:p>
      <w:pPr>
        <w:pStyle w:val="11"/>
        <w:snapToGrid w:val="0"/>
        <w:spacing w:before="50" w:after="50" w:line="440" w:lineRule="exact"/>
        <w:ind w:firstLine="675" w:firstLineChars="225"/>
        <w:rPr>
          <w:rFonts w:ascii="宋体" w:hAnsi="宋体" w:cs="宋体"/>
          <w:bCs/>
          <w:color w:val="auto"/>
          <w:sz w:val="30"/>
          <w:szCs w:val="30"/>
          <w:highlight w:val="none"/>
        </w:rPr>
      </w:pPr>
    </w:p>
    <w:p>
      <w:pPr>
        <w:snapToGrid w:val="0"/>
        <w:spacing w:before="120" w:beforeLines="50" w:after="50" w:line="440" w:lineRule="exact"/>
        <w:ind w:firstLine="10"/>
        <w:jc w:val="center"/>
        <w:rPr>
          <w:rFonts w:ascii="宋体" w:hAnsi="宋体" w:cs="宋体"/>
          <w:color w:val="auto"/>
          <w:sz w:val="30"/>
          <w:szCs w:val="30"/>
          <w:highlight w:val="none"/>
        </w:rPr>
      </w:pPr>
    </w:p>
    <w:p>
      <w:pPr>
        <w:snapToGrid w:val="0"/>
        <w:spacing w:before="120" w:beforeLines="50" w:after="50" w:line="440" w:lineRule="exact"/>
        <w:ind w:firstLine="10"/>
        <w:jc w:val="center"/>
        <w:rPr>
          <w:rFonts w:ascii="宋体" w:hAnsi="宋体" w:cs="宋体"/>
          <w:color w:val="auto"/>
          <w:sz w:val="30"/>
          <w:szCs w:val="30"/>
          <w:highlight w:val="none"/>
        </w:rPr>
      </w:pPr>
    </w:p>
    <w:p>
      <w:pPr>
        <w:snapToGrid w:val="0"/>
        <w:spacing w:before="120" w:beforeLines="50" w:after="50" w:line="440" w:lineRule="exact"/>
        <w:ind w:firstLine="10"/>
        <w:jc w:val="center"/>
        <w:rPr>
          <w:rFonts w:ascii="宋体" w:hAnsi="宋体" w:cs="宋体"/>
          <w:color w:val="auto"/>
          <w:sz w:val="30"/>
          <w:szCs w:val="30"/>
          <w:highlight w:val="none"/>
        </w:rPr>
      </w:pPr>
    </w:p>
    <w:p>
      <w:pPr>
        <w:snapToGrid w:val="0"/>
        <w:spacing w:before="120" w:beforeLines="50" w:after="50" w:line="440" w:lineRule="exact"/>
        <w:ind w:firstLine="10"/>
        <w:jc w:val="center"/>
        <w:rPr>
          <w:rFonts w:ascii="宋体" w:hAnsi="宋体" w:cs="宋体"/>
          <w:color w:val="auto"/>
          <w:sz w:val="30"/>
          <w:szCs w:val="30"/>
          <w:highlight w:val="none"/>
        </w:rPr>
      </w:pPr>
      <w:r>
        <w:rPr>
          <w:rFonts w:hint="eastAsia" w:ascii="宋体" w:hAnsi="宋体" w:cs="宋体"/>
          <w:color w:val="auto"/>
          <w:sz w:val="30"/>
          <w:szCs w:val="30"/>
          <w:highlight w:val="none"/>
        </w:rPr>
        <w:t>年   月   日</w:t>
      </w:r>
    </w:p>
    <w:p>
      <w:pPr>
        <w:spacing w:line="440" w:lineRule="exact"/>
        <w:rPr>
          <w:rFonts w:ascii="宋体" w:hAnsi="宋体" w:cs="宋体"/>
          <w:b/>
          <w:color w:val="auto"/>
          <w:szCs w:val="21"/>
          <w:highlight w:val="none"/>
        </w:rPr>
      </w:pPr>
    </w:p>
    <w:p>
      <w:pPr>
        <w:tabs>
          <w:tab w:val="left" w:pos="1418"/>
        </w:tabs>
        <w:snapToGrid w:val="0"/>
        <w:spacing w:before="50" w:after="50" w:line="440" w:lineRule="exact"/>
        <w:jc w:val="center"/>
        <w:rPr>
          <w:rFonts w:ascii="宋体" w:hAnsi="宋体" w:cs="宋体"/>
          <w:bCs/>
          <w:color w:val="auto"/>
          <w:szCs w:val="21"/>
          <w:highlight w:val="none"/>
        </w:rPr>
      </w:pPr>
      <w:r>
        <w:rPr>
          <w:rFonts w:hint="eastAsia" w:ascii="宋体" w:hAnsi="宋体" w:cs="宋体"/>
          <w:bCs/>
          <w:color w:val="auto"/>
          <w:szCs w:val="21"/>
          <w:highlight w:val="none"/>
        </w:rPr>
        <w:t>目录</w:t>
      </w: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1、报价文件</w:t>
      </w: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1.1</w:t>
      </w:r>
      <w:r>
        <w:rPr>
          <w:rFonts w:hint="eastAsia" w:ascii="宋体" w:hAnsi="宋体" w:cs="宋体"/>
          <w:color w:val="auto"/>
          <w:szCs w:val="21"/>
          <w:highlight w:val="none"/>
        </w:rPr>
        <w:t>竞标函</w:t>
      </w:r>
      <w:r>
        <w:rPr>
          <w:rFonts w:hint="eastAsia" w:ascii="宋体" w:hAnsi="宋体" w:cs="宋体"/>
          <w:bCs/>
          <w:color w:val="auto"/>
          <w:szCs w:val="21"/>
          <w:highlight w:val="none"/>
        </w:rPr>
        <w:t>…………………………………………………………………………</w:t>
      </w:r>
    </w:p>
    <w:p>
      <w:pPr>
        <w:tabs>
          <w:tab w:val="left" w:pos="1418"/>
        </w:tabs>
        <w:snapToGrid w:val="0"/>
        <w:spacing w:before="50" w:after="50" w:line="440" w:lineRule="exact"/>
        <w:rPr>
          <w:rFonts w:ascii="宋体" w:hAnsi="宋体" w:cs="宋体"/>
          <w:color w:val="auto"/>
          <w:szCs w:val="21"/>
          <w:highlight w:val="none"/>
        </w:rPr>
      </w:pPr>
      <w:r>
        <w:rPr>
          <w:rFonts w:hint="eastAsia" w:ascii="宋体" w:hAnsi="宋体" w:cs="宋体"/>
          <w:color w:val="auto"/>
          <w:szCs w:val="21"/>
          <w:highlight w:val="none"/>
        </w:rPr>
        <w:t>1.2报价表和最后报价明细表………………………………</w:t>
      </w:r>
    </w:p>
    <w:p>
      <w:pPr>
        <w:tabs>
          <w:tab w:val="left" w:pos="1418"/>
        </w:tabs>
        <w:snapToGrid w:val="0"/>
        <w:spacing w:before="50" w:after="50" w:line="440" w:lineRule="exact"/>
        <w:rPr>
          <w:rFonts w:ascii="宋体" w:hAnsi="宋体" w:cs="宋体"/>
          <w:color w:val="auto"/>
          <w:szCs w:val="21"/>
          <w:highlight w:val="none"/>
        </w:rPr>
      </w:pPr>
      <w:r>
        <w:rPr>
          <w:rFonts w:hint="eastAsia" w:ascii="宋体" w:hAnsi="宋体" w:cs="宋体"/>
          <w:color w:val="auto"/>
          <w:szCs w:val="21"/>
          <w:highlight w:val="none"/>
        </w:rPr>
        <w:t>1.3中小企业声明函（如是请提供）………………………………</w:t>
      </w:r>
    </w:p>
    <w:p>
      <w:pPr>
        <w:tabs>
          <w:tab w:val="left" w:pos="1418"/>
        </w:tabs>
        <w:snapToGrid w:val="0"/>
        <w:spacing w:before="50" w:after="50" w:line="440" w:lineRule="exact"/>
        <w:rPr>
          <w:rFonts w:ascii="宋体" w:hAnsi="宋体" w:cs="宋体"/>
          <w:color w:val="auto"/>
          <w:szCs w:val="21"/>
          <w:highlight w:val="none"/>
        </w:rPr>
      </w:pPr>
      <w:r>
        <w:rPr>
          <w:rFonts w:hint="eastAsia" w:ascii="宋体" w:hAnsi="宋体" w:cs="宋体"/>
          <w:color w:val="auto"/>
          <w:szCs w:val="21"/>
          <w:highlight w:val="none"/>
        </w:rPr>
        <w:t>1.4监狱企业由省级以上监狱管理局、戒毒管理局（含新疆生产建设兵团）出具的属于监狱企业的证明文件（如是请提供）………………………………</w:t>
      </w: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1.5</w:t>
      </w:r>
      <w:r>
        <w:rPr>
          <w:rFonts w:hint="eastAsia" w:ascii="宋体" w:hAnsi="宋体" w:cs="宋体"/>
          <w:color w:val="auto"/>
          <w:szCs w:val="21"/>
          <w:highlight w:val="none"/>
        </w:rPr>
        <w:t>残疾人福利性单位声明函（如是请提供）</w:t>
      </w:r>
      <w:r>
        <w:rPr>
          <w:rFonts w:hint="eastAsia" w:ascii="宋体" w:hAnsi="宋体" w:cs="宋体"/>
          <w:bCs/>
          <w:color w:val="auto"/>
          <w:szCs w:val="21"/>
          <w:highlight w:val="none"/>
        </w:rPr>
        <w:t>………………………………………</w:t>
      </w: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1.6</w:t>
      </w:r>
      <w:r>
        <w:rPr>
          <w:rFonts w:hint="eastAsia" w:ascii="宋体" w:hAnsi="宋体" w:cs="宋体"/>
          <w:color w:val="auto"/>
          <w:szCs w:val="21"/>
          <w:highlight w:val="none"/>
        </w:rPr>
        <w:t>供应商针对报价需要说明的其他文件和说明</w:t>
      </w:r>
      <w:r>
        <w:rPr>
          <w:rFonts w:hint="eastAsia" w:ascii="宋体" w:hAnsi="宋体" w:cs="宋体"/>
          <w:bCs/>
          <w:color w:val="auto"/>
          <w:szCs w:val="21"/>
          <w:highlight w:val="none"/>
        </w:rPr>
        <w:t>……………………………………</w:t>
      </w: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一、竞标函格式</w:t>
      </w:r>
    </w:p>
    <w:p>
      <w:pPr>
        <w:snapToGrid w:val="0"/>
        <w:spacing w:before="120" w:beforeLines="50" w:after="50" w:line="44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竞 标 函</w:t>
      </w:r>
    </w:p>
    <w:p>
      <w:pPr>
        <w:snapToGrid w:val="0"/>
        <w:spacing w:before="120" w:beforeLines="50" w:after="50" w:line="440" w:lineRule="exact"/>
        <w:jc w:val="center"/>
        <w:rPr>
          <w:rFonts w:ascii="宋体" w:hAnsi="宋体" w:cs="宋体"/>
          <w:b/>
          <w:color w:val="auto"/>
          <w:sz w:val="24"/>
          <w:szCs w:val="20"/>
          <w:highlight w:val="none"/>
        </w:rPr>
      </w:pP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致：（采购人名称）：</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根据贵方为项目的招标公告（项目编号：     ），签字代表</w:t>
      </w:r>
      <w:r>
        <w:rPr>
          <w:rFonts w:hint="eastAsia" w:ascii="宋体" w:hAnsi="宋体" w:cs="宋体"/>
          <w:color w:val="auto"/>
          <w:szCs w:val="21"/>
          <w:highlight w:val="none"/>
          <w:u w:val="single"/>
        </w:rPr>
        <w:t xml:space="preserve">     （全名）</w:t>
      </w:r>
      <w:r>
        <w:rPr>
          <w:rFonts w:hint="eastAsia" w:ascii="宋体" w:hAnsi="宋体" w:cs="宋体"/>
          <w:color w:val="auto"/>
          <w:szCs w:val="21"/>
          <w:highlight w:val="none"/>
        </w:rPr>
        <w:t>经正式授权并代表供应商</w:t>
      </w:r>
      <w:r>
        <w:rPr>
          <w:rFonts w:hint="eastAsia" w:ascii="宋体" w:hAnsi="宋体" w:cs="宋体"/>
          <w:color w:val="auto"/>
          <w:szCs w:val="21"/>
          <w:highlight w:val="none"/>
          <w:u w:val="single"/>
        </w:rPr>
        <w:t xml:space="preserve">                    （供应商名称）</w:t>
      </w:r>
      <w:r>
        <w:rPr>
          <w:rFonts w:hint="eastAsia" w:ascii="宋体" w:hAnsi="宋体" w:cs="宋体"/>
          <w:color w:val="auto"/>
          <w:szCs w:val="21"/>
          <w:highlight w:val="none"/>
        </w:rPr>
        <w:t>现正式递交下述文件参加贵方组织的本次政府采购活动：</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一、报价文件电子版一份；</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二、资格文件电子版一份；</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三、商务和技术文件电子版一份；</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据此函，签字代表宣布同意如下：</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1.我方已详细审查全部“竞争性磋商文件”，包括修改文件（如有的话）以及全部参考资料和有关附件，已经了解我方对于磋商文件、采购过程、采购结果有依法进行询问、质疑、投诉的权利及相关渠道和要求。</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2.我方在投标之前已经与贵方进行了充分的沟通，完全理解并接受招标文件的各项规定和要求，对招标文件的合理性、合法性不再有异议。</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3.本投标有效期自开标日起     个日（自然日）。</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4.如中标，本响应文件至本项目合同履行完毕止均保持有效，我方将按“竞争性磋商文件”及政府采购法律、法规的规定履行合同责任和义务。</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5.我方同意按照贵方要求提供与投标有关的一切数据或资料。</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6.与本投标有关的一切正式往来信函请寄：</w:t>
      </w:r>
    </w:p>
    <w:p>
      <w:pPr>
        <w:snapToGrid w:val="0"/>
        <w:spacing w:line="440" w:lineRule="exact"/>
        <w:rPr>
          <w:rFonts w:ascii="宋体" w:hAnsi="宋体" w:cs="宋体"/>
          <w:color w:val="auto"/>
          <w:szCs w:val="21"/>
          <w:highlight w:val="none"/>
          <w:u w:val="single"/>
        </w:rPr>
      </w:pPr>
      <w:r>
        <w:rPr>
          <w:rFonts w:hint="eastAsia" w:ascii="宋体" w:hAnsi="宋体" w:cs="宋体"/>
          <w:color w:val="auto"/>
          <w:szCs w:val="21"/>
          <w:highlight w:val="none"/>
        </w:rPr>
        <w:t>地址：       邮编：       电话：</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传真：       供应商代表姓名、职务：</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供应商名称:</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开户银行：   银行</w:t>
      </w:r>
      <w:r>
        <w:rPr>
          <w:rFonts w:hint="eastAsia" w:ascii="宋体" w:hAnsi="宋体" w:cs="宋体"/>
          <w:color w:val="auto"/>
          <w:szCs w:val="21"/>
          <w:highlight w:val="none"/>
          <w:lang w:val="en-US" w:eastAsia="zh-CN"/>
        </w:rPr>
        <w:t>账</w:t>
      </w:r>
      <w:r>
        <w:rPr>
          <w:rFonts w:hint="eastAsia" w:ascii="宋体" w:hAnsi="宋体" w:cs="宋体"/>
          <w:color w:val="auto"/>
          <w:szCs w:val="21"/>
          <w:highlight w:val="none"/>
        </w:rPr>
        <w:t>号：</w:t>
      </w:r>
    </w:p>
    <w:p>
      <w:pPr>
        <w:snapToGrid w:val="0"/>
        <w:spacing w:line="440" w:lineRule="exact"/>
        <w:rPr>
          <w:rFonts w:ascii="宋体" w:hAnsi="宋体" w:cs="宋体"/>
          <w:color w:val="auto"/>
          <w:szCs w:val="21"/>
          <w:highlight w:val="none"/>
        </w:rPr>
      </w:pPr>
    </w:p>
    <w:p>
      <w:pPr>
        <w:snapToGrid w:val="0"/>
        <w:spacing w:line="440" w:lineRule="exact"/>
        <w:rPr>
          <w:rFonts w:ascii="宋体" w:hAnsi="宋体" w:cs="宋体"/>
          <w:color w:val="auto"/>
          <w:szCs w:val="21"/>
          <w:highlight w:val="none"/>
        </w:rPr>
      </w:pPr>
    </w:p>
    <w:p>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pPr>
        <w:spacing w:line="44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pPr>
        <w:pStyle w:val="23"/>
        <w:spacing w:line="440" w:lineRule="exact"/>
        <w:rPr>
          <w:rFonts w:hAnsi="宋体" w:cs="宋体"/>
          <w:color w:val="auto"/>
          <w:sz w:val="44"/>
          <w:highlight w:val="none"/>
        </w:rPr>
      </w:pPr>
    </w:p>
    <w:p>
      <w:pPr>
        <w:pStyle w:val="23"/>
        <w:spacing w:line="440" w:lineRule="exact"/>
        <w:rPr>
          <w:rFonts w:hAnsi="宋体" w:cs="宋体"/>
          <w:color w:val="auto"/>
          <w:sz w:val="44"/>
          <w:highlight w:val="none"/>
        </w:rPr>
      </w:pPr>
    </w:p>
    <w:p>
      <w:pPr>
        <w:spacing w:line="440" w:lineRule="exact"/>
        <w:rPr>
          <w:rFonts w:ascii="宋体" w:hAnsi="宋体" w:cs="宋体"/>
          <w:b/>
          <w:color w:val="auto"/>
          <w:szCs w:val="21"/>
          <w:highlight w:val="none"/>
        </w:rPr>
      </w:pPr>
    </w:p>
    <w:p>
      <w:pPr>
        <w:spacing w:line="440" w:lineRule="exact"/>
        <w:rPr>
          <w:rFonts w:ascii="宋体" w:hAnsi="宋体" w:cs="宋体"/>
          <w:b/>
          <w:color w:val="auto"/>
          <w:szCs w:val="21"/>
          <w:highlight w:val="none"/>
        </w:rPr>
      </w:pP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二、报价表和最后报价明细表格式</w:t>
      </w:r>
    </w:p>
    <w:p>
      <w:pPr>
        <w:spacing w:line="44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报  价  表</w:t>
      </w:r>
    </w:p>
    <w:p>
      <w:pPr>
        <w:spacing w:line="440" w:lineRule="exact"/>
        <w:jc w:val="center"/>
        <w:rPr>
          <w:rFonts w:ascii="宋体" w:hAnsi="宋体" w:cs="宋体"/>
          <w:b/>
          <w:color w:val="auto"/>
          <w:sz w:val="32"/>
          <w:szCs w:val="32"/>
          <w:highlight w:val="none"/>
        </w:rPr>
      </w:pPr>
    </w:p>
    <w:p>
      <w:pPr>
        <w:spacing w:line="440" w:lineRule="exact"/>
        <w:rPr>
          <w:rFonts w:ascii="宋体" w:hAnsi="宋体" w:cs="宋体"/>
          <w:color w:val="auto"/>
          <w:szCs w:val="21"/>
          <w:highlight w:val="none"/>
        </w:rPr>
      </w:pPr>
      <w:r>
        <w:rPr>
          <w:rFonts w:hint="eastAsia" w:ascii="宋体" w:hAnsi="宋体" w:cs="宋体"/>
          <w:color w:val="auto"/>
          <w:szCs w:val="21"/>
          <w:highlight w:val="none"/>
        </w:rPr>
        <w:t>项目名称:</w:t>
      </w:r>
    </w:p>
    <w:p>
      <w:pPr>
        <w:snapToGrid w:val="0"/>
        <w:spacing w:before="50" w:after="50" w:line="440" w:lineRule="exact"/>
        <w:rPr>
          <w:rFonts w:ascii="宋体" w:hAnsi="宋体" w:cs="宋体"/>
          <w:color w:val="auto"/>
          <w:highlight w:val="none"/>
          <w:u w:val="single"/>
        </w:rPr>
      </w:pPr>
      <w:r>
        <w:rPr>
          <w:rFonts w:hint="eastAsia" w:ascii="宋体" w:hAnsi="宋体" w:cs="宋体"/>
          <w:color w:val="auto"/>
          <w:szCs w:val="21"/>
          <w:highlight w:val="none"/>
        </w:rPr>
        <w:t>项目编号:</w:t>
      </w:r>
    </w:p>
    <w:p>
      <w:pPr>
        <w:snapToGrid w:val="0"/>
        <w:spacing w:before="50" w:after="50" w:line="440" w:lineRule="exact"/>
        <w:rPr>
          <w:rFonts w:ascii="宋体" w:hAnsi="宋体" w:cs="宋体"/>
          <w:color w:val="auto"/>
          <w:highlight w:val="none"/>
        </w:rPr>
      </w:pPr>
      <w:r>
        <w:rPr>
          <w:rFonts w:hint="eastAsia" w:ascii="宋体" w:hAnsi="宋体" w:cs="宋体"/>
          <w:color w:val="auto"/>
          <w:highlight w:val="none"/>
        </w:rPr>
        <w:t>分标号：</w:t>
      </w:r>
    </w:p>
    <w:tbl>
      <w:tblPr>
        <w:tblStyle w:val="41"/>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8"/>
        <w:gridCol w:w="2219"/>
        <w:gridCol w:w="1418"/>
        <w:gridCol w:w="2551"/>
        <w:gridCol w:w="22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pacing w:val="20"/>
                <w:szCs w:val="21"/>
                <w:highlight w:val="none"/>
              </w:rPr>
            </w:pPr>
            <w:r>
              <w:rPr>
                <w:rFonts w:hint="eastAsia" w:ascii="宋体" w:hAnsi="宋体" w:cs="宋体"/>
                <w:color w:val="auto"/>
                <w:szCs w:val="21"/>
                <w:highlight w:val="none"/>
              </w:rPr>
              <w:t>序号</w:t>
            </w:r>
          </w:p>
        </w:tc>
        <w:tc>
          <w:tcPr>
            <w:tcW w:w="2219"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zCs w:val="21"/>
                <w:highlight w:val="none"/>
              </w:rPr>
            </w:pPr>
            <w:r>
              <w:rPr>
                <w:rFonts w:hint="eastAsia" w:ascii="宋体" w:hAnsi="宋体" w:cs="宋体"/>
                <w:color w:val="auto"/>
                <w:szCs w:val="21"/>
                <w:highlight w:val="none"/>
              </w:rPr>
              <w:t>服务名称</w:t>
            </w: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zCs w:val="21"/>
                <w:highlight w:val="none"/>
              </w:rPr>
            </w:pPr>
            <w:r>
              <w:rPr>
                <w:rFonts w:hint="eastAsia" w:ascii="宋体" w:hAnsi="宋体" w:cs="宋体"/>
                <w:color w:val="auto"/>
                <w:szCs w:val="21"/>
                <w:highlight w:val="none"/>
              </w:rPr>
              <w:t>单位及数量</w:t>
            </w:r>
          </w:p>
        </w:tc>
        <w:tc>
          <w:tcPr>
            <w:tcW w:w="255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zCs w:val="21"/>
                <w:highlight w:val="none"/>
              </w:rPr>
            </w:pPr>
            <w:r>
              <w:rPr>
                <w:rFonts w:hint="eastAsia" w:ascii="宋体" w:hAnsi="宋体" w:cs="宋体"/>
                <w:color w:val="auto"/>
                <w:szCs w:val="21"/>
                <w:highlight w:val="none"/>
              </w:rPr>
              <w:t>竞标报价（元）</w:t>
            </w:r>
          </w:p>
        </w:tc>
        <w:tc>
          <w:tcPr>
            <w:tcW w:w="226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zCs w:val="21"/>
                <w:highlight w:val="none"/>
              </w:rPr>
            </w:pPr>
            <w:r>
              <w:rPr>
                <w:rFonts w:hint="eastAsia" w:ascii="宋体" w:hAnsi="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75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pacing w:val="20"/>
                <w:szCs w:val="21"/>
                <w:highlight w:val="none"/>
              </w:rPr>
            </w:pPr>
            <w:r>
              <w:rPr>
                <w:rFonts w:hint="eastAsia" w:ascii="宋体" w:hAnsi="宋体" w:cs="宋体"/>
                <w:color w:val="auto"/>
                <w:spacing w:val="20"/>
                <w:szCs w:val="21"/>
                <w:highlight w:val="none"/>
              </w:rPr>
              <w:t>1</w:t>
            </w:r>
          </w:p>
        </w:tc>
        <w:tc>
          <w:tcPr>
            <w:tcW w:w="2219"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left"/>
              <w:rPr>
                <w:rFonts w:ascii="宋体"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pacing w:val="20"/>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75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pacing w:val="20"/>
                <w:szCs w:val="21"/>
                <w:highlight w:val="none"/>
              </w:rPr>
            </w:pPr>
          </w:p>
        </w:tc>
        <w:tc>
          <w:tcPr>
            <w:tcW w:w="2219"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left"/>
              <w:rPr>
                <w:rFonts w:ascii="宋体"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pacing w:val="20"/>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75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pacing w:val="20"/>
                <w:szCs w:val="21"/>
                <w:highlight w:val="none"/>
              </w:rPr>
            </w:pPr>
          </w:p>
        </w:tc>
        <w:tc>
          <w:tcPr>
            <w:tcW w:w="2219"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left"/>
              <w:rPr>
                <w:rFonts w:ascii="宋体"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pacing w:val="20"/>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75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pacing w:val="20"/>
                <w:szCs w:val="21"/>
                <w:highlight w:val="none"/>
              </w:rPr>
            </w:pPr>
          </w:p>
        </w:tc>
        <w:tc>
          <w:tcPr>
            <w:tcW w:w="2219"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left"/>
              <w:rPr>
                <w:rFonts w:ascii="宋体"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pacing w:val="20"/>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14" w:type="dxa"/>
            <w:gridSpan w:val="5"/>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440" w:lineRule="exact"/>
              <w:jc w:val="left"/>
              <w:rPr>
                <w:rFonts w:ascii="宋体" w:hAnsi="宋体" w:cs="宋体"/>
                <w:color w:val="auto"/>
                <w:szCs w:val="21"/>
                <w:highlight w:val="none"/>
              </w:rPr>
            </w:pPr>
            <w:r>
              <w:rPr>
                <w:rFonts w:hint="eastAsia" w:ascii="宋体" w:hAnsi="宋体" w:cs="宋体"/>
                <w:color w:val="auto"/>
                <w:kern w:val="0"/>
                <w:szCs w:val="21"/>
                <w:highlight w:val="none"/>
              </w:rPr>
              <w:t>服务期限</w:t>
            </w:r>
            <w:r>
              <w:rPr>
                <w:rFonts w:hint="eastAsia" w:ascii="宋体" w:hAnsi="宋体" w:cs="宋体"/>
                <w:color w:val="auto"/>
                <w:szCs w:val="21"/>
                <w:highlight w:val="none"/>
              </w:rPr>
              <w:t xml:space="preserve">： </w:t>
            </w:r>
          </w:p>
        </w:tc>
      </w:tr>
    </w:tbl>
    <w:p>
      <w:pPr>
        <w:snapToGrid w:val="0"/>
        <w:spacing w:before="50" w:after="50" w:line="440" w:lineRule="exact"/>
        <w:rPr>
          <w:rFonts w:ascii="宋体" w:hAnsi="宋体" w:cs="宋体"/>
          <w:color w:val="auto"/>
          <w:highlight w:val="none"/>
          <w:u w:val="single"/>
        </w:rPr>
      </w:pPr>
    </w:p>
    <w:p>
      <w:pPr>
        <w:snapToGrid w:val="0"/>
        <w:spacing w:before="50" w:after="50" w:line="440" w:lineRule="exact"/>
        <w:jc w:val="left"/>
        <w:rPr>
          <w:rFonts w:ascii="宋体" w:hAnsi="宋体" w:cs="宋体"/>
          <w:color w:val="auto"/>
          <w:szCs w:val="21"/>
          <w:highlight w:val="none"/>
        </w:rPr>
      </w:pPr>
      <w:r>
        <w:rPr>
          <w:rFonts w:hint="eastAsia" w:ascii="宋体" w:hAnsi="宋体" w:cs="宋体"/>
          <w:color w:val="auto"/>
          <w:szCs w:val="21"/>
          <w:highlight w:val="none"/>
        </w:rPr>
        <w:t>注：</w:t>
      </w:r>
    </w:p>
    <w:p>
      <w:pPr>
        <w:snapToGrid w:val="0"/>
        <w:spacing w:before="50" w:after="50" w:line="440" w:lineRule="exact"/>
        <w:jc w:val="left"/>
        <w:rPr>
          <w:rFonts w:ascii="宋体" w:hAnsi="宋体" w:cs="宋体"/>
          <w:color w:val="auto"/>
          <w:szCs w:val="21"/>
          <w:highlight w:val="none"/>
        </w:rPr>
      </w:pPr>
      <w:r>
        <w:rPr>
          <w:rFonts w:hint="eastAsia" w:ascii="宋体" w:hAnsi="宋体" w:cs="宋体"/>
          <w:color w:val="auto"/>
          <w:szCs w:val="21"/>
          <w:highlight w:val="none"/>
        </w:rPr>
        <w:t>1、所有价格均用人民币表示，单位为元，精确到个位。</w:t>
      </w:r>
    </w:p>
    <w:p>
      <w:pPr>
        <w:snapToGrid w:val="0"/>
        <w:spacing w:before="50" w:after="50" w:line="440" w:lineRule="exact"/>
        <w:jc w:val="left"/>
        <w:rPr>
          <w:rFonts w:ascii="宋体" w:hAnsi="宋体" w:cs="宋体"/>
          <w:color w:val="auto"/>
          <w:szCs w:val="21"/>
          <w:highlight w:val="none"/>
        </w:rPr>
      </w:pPr>
      <w:r>
        <w:rPr>
          <w:rFonts w:hint="eastAsia" w:ascii="宋体" w:hAnsi="宋体" w:cs="宋体"/>
          <w:color w:val="auto"/>
          <w:szCs w:val="21"/>
          <w:highlight w:val="none"/>
        </w:rPr>
        <w:t>2、报价一经涂改，应在涂改处加盖单位公章或者由法定代表人或授权委托人签字，否则其报价无效。</w:t>
      </w:r>
    </w:p>
    <w:p>
      <w:pPr>
        <w:snapToGrid w:val="0"/>
        <w:spacing w:before="50" w:after="50" w:line="440" w:lineRule="exact"/>
        <w:jc w:val="left"/>
        <w:rPr>
          <w:rFonts w:ascii="宋体" w:hAnsi="宋体" w:cs="宋体"/>
          <w:color w:val="auto"/>
          <w:szCs w:val="21"/>
          <w:highlight w:val="none"/>
        </w:rPr>
      </w:pPr>
    </w:p>
    <w:p>
      <w:pPr>
        <w:snapToGrid w:val="0"/>
        <w:spacing w:before="50" w:after="50" w:line="440" w:lineRule="exact"/>
        <w:ind w:firstLine="420" w:firstLineChars="200"/>
        <w:rPr>
          <w:rFonts w:ascii="宋体" w:hAnsi="宋体" w:cs="宋体"/>
          <w:color w:val="auto"/>
          <w:szCs w:val="21"/>
          <w:highlight w:val="none"/>
        </w:rPr>
      </w:pPr>
    </w:p>
    <w:p>
      <w:pPr>
        <w:snapToGrid w:val="0"/>
        <w:spacing w:before="50" w:after="50" w:line="440" w:lineRule="exact"/>
        <w:ind w:firstLine="420" w:firstLineChars="200"/>
        <w:rPr>
          <w:rFonts w:ascii="宋体" w:hAnsi="宋体" w:cs="宋体"/>
          <w:color w:val="auto"/>
          <w:szCs w:val="21"/>
          <w:highlight w:val="none"/>
        </w:rPr>
      </w:pPr>
    </w:p>
    <w:p>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pPr>
        <w:spacing w:line="44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pPr>
        <w:spacing w:line="440" w:lineRule="exact"/>
        <w:jc w:val="left"/>
        <w:rPr>
          <w:rFonts w:ascii="宋体" w:hAnsi="宋体" w:cs="宋体"/>
          <w:color w:val="auto"/>
          <w:szCs w:val="21"/>
          <w:highlight w:val="none"/>
        </w:rPr>
      </w:pPr>
    </w:p>
    <w:p>
      <w:pPr>
        <w:spacing w:line="440" w:lineRule="exact"/>
        <w:jc w:val="left"/>
        <w:rPr>
          <w:rFonts w:ascii="宋体" w:hAnsi="宋体" w:cs="宋体"/>
          <w:color w:val="auto"/>
          <w:szCs w:val="21"/>
          <w:highlight w:val="none"/>
        </w:rPr>
      </w:pPr>
    </w:p>
    <w:p>
      <w:pPr>
        <w:spacing w:line="440" w:lineRule="exact"/>
        <w:jc w:val="left"/>
        <w:rPr>
          <w:rFonts w:ascii="宋体" w:hAnsi="宋体" w:cs="宋体"/>
          <w:color w:val="auto"/>
          <w:szCs w:val="21"/>
          <w:highlight w:val="none"/>
        </w:rPr>
      </w:pPr>
    </w:p>
    <w:p>
      <w:pPr>
        <w:spacing w:line="440" w:lineRule="exact"/>
        <w:jc w:val="left"/>
        <w:rPr>
          <w:rFonts w:ascii="宋体" w:hAnsi="宋体" w:cs="宋体"/>
          <w:color w:val="auto"/>
          <w:szCs w:val="21"/>
          <w:highlight w:val="none"/>
        </w:rPr>
      </w:pPr>
    </w:p>
    <w:p>
      <w:pPr>
        <w:spacing w:line="440" w:lineRule="exact"/>
        <w:jc w:val="center"/>
        <w:rPr>
          <w:rFonts w:ascii="宋体" w:hAnsi="宋体" w:cs="宋体"/>
          <w:color w:val="auto"/>
          <w:sz w:val="44"/>
          <w:szCs w:val="20"/>
          <w:highlight w:val="none"/>
        </w:rPr>
      </w:pPr>
    </w:p>
    <w:p>
      <w:pPr>
        <w:rPr>
          <w:rFonts w:ascii="宋体" w:hAnsi="宋体" w:cs="宋体"/>
          <w:color w:val="auto"/>
          <w:sz w:val="44"/>
          <w:szCs w:val="20"/>
          <w:highlight w:val="none"/>
        </w:rPr>
      </w:pPr>
      <w:r>
        <w:rPr>
          <w:rFonts w:hint="eastAsia" w:ascii="宋体" w:hAnsi="宋体" w:cs="宋体"/>
          <w:color w:val="auto"/>
          <w:sz w:val="44"/>
          <w:szCs w:val="20"/>
          <w:highlight w:val="none"/>
        </w:rPr>
        <w:br w:type="page"/>
      </w:r>
    </w:p>
    <w:p>
      <w:pPr>
        <w:spacing w:line="440" w:lineRule="exact"/>
        <w:jc w:val="center"/>
        <w:rPr>
          <w:rFonts w:ascii="宋体" w:hAnsi="宋体" w:cs="宋体"/>
          <w:color w:val="auto"/>
          <w:sz w:val="44"/>
          <w:szCs w:val="20"/>
          <w:highlight w:val="none"/>
        </w:rPr>
      </w:pPr>
      <w:r>
        <w:rPr>
          <w:rFonts w:hint="eastAsia" w:ascii="宋体" w:hAnsi="宋体" w:cs="宋体"/>
          <w:color w:val="auto"/>
          <w:sz w:val="44"/>
          <w:szCs w:val="20"/>
          <w:highlight w:val="none"/>
        </w:rPr>
        <w:t>最后报价明细表</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项目名称：</w:t>
      </w:r>
    </w:p>
    <w:p>
      <w:pPr>
        <w:snapToGrid w:val="0"/>
        <w:spacing w:before="50" w:after="50" w:line="440" w:lineRule="exact"/>
        <w:rPr>
          <w:rFonts w:ascii="宋体" w:hAnsi="宋体" w:cs="宋体"/>
          <w:color w:val="auto"/>
          <w:highlight w:val="none"/>
          <w:u w:val="single"/>
        </w:rPr>
      </w:pPr>
      <w:r>
        <w:rPr>
          <w:rFonts w:hint="eastAsia" w:ascii="宋体" w:hAnsi="宋体" w:cs="宋体"/>
          <w:color w:val="auto"/>
          <w:szCs w:val="21"/>
          <w:highlight w:val="none"/>
        </w:rPr>
        <w:t>项目编号：</w:t>
      </w:r>
    </w:p>
    <w:p>
      <w:pPr>
        <w:snapToGrid w:val="0"/>
        <w:spacing w:before="50" w:after="50" w:line="440" w:lineRule="exact"/>
        <w:rPr>
          <w:rFonts w:ascii="宋体" w:hAnsi="宋体" w:cs="宋体"/>
          <w:color w:val="auto"/>
          <w:highlight w:val="none"/>
        </w:rPr>
      </w:pPr>
      <w:r>
        <w:rPr>
          <w:rFonts w:hint="eastAsia" w:ascii="宋体" w:hAnsi="宋体" w:cs="宋体"/>
          <w:color w:val="auto"/>
          <w:highlight w:val="none"/>
        </w:rPr>
        <w:t>分标号：</w:t>
      </w:r>
    </w:p>
    <w:p>
      <w:pPr>
        <w:spacing w:line="440" w:lineRule="exact"/>
        <w:ind w:firstLine="8190" w:firstLineChars="3900"/>
        <w:rPr>
          <w:rFonts w:ascii="宋体" w:hAnsi="宋体" w:cs="宋体"/>
          <w:color w:val="auto"/>
          <w:szCs w:val="21"/>
          <w:highlight w:val="none"/>
        </w:rPr>
      </w:pPr>
      <w:r>
        <w:rPr>
          <w:rFonts w:hint="eastAsia" w:ascii="宋体" w:hAnsi="宋体" w:cs="宋体"/>
          <w:color w:val="auto"/>
          <w:szCs w:val="21"/>
          <w:highlight w:val="none"/>
        </w:rPr>
        <w:t>单位：元</w:t>
      </w:r>
    </w:p>
    <w:tbl>
      <w:tblPr>
        <w:tblStyle w:val="41"/>
        <w:tblW w:w="9696" w:type="dxa"/>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3"/>
        <w:gridCol w:w="2272"/>
        <w:gridCol w:w="1515"/>
        <w:gridCol w:w="1212"/>
        <w:gridCol w:w="1514"/>
        <w:gridCol w:w="19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exact"/>
        </w:trPr>
        <w:tc>
          <w:tcPr>
            <w:tcW w:w="1213" w:type="dxa"/>
          </w:tcPr>
          <w:p>
            <w:pPr>
              <w:pStyle w:val="207"/>
              <w:spacing w:before="110" w:line="440" w:lineRule="exact"/>
              <w:ind w:left="217" w:right="224"/>
              <w:jc w:val="center"/>
              <w:rPr>
                <w:b/>
                <w:color w:val="auto"/>
                <w:sz w:val="21"/>
                <w:highlight w:val="none"/>
              </w:rPr>
            </w:pPr>
            <w:r>
              <w:rPr>
                <w:rFonts w:hint="eastAsia"/>
                <w:b/>
                <w:color w:val="auto"/>
                <w:sz w:val="21"/>
                <w:highlight w:val="none"/>
              </w:rPr>
              <w:t>项号</w:t>
            </w:r>
          </w:p>
        </w:tc>
        <w:tc>
          <w:tcPr>
            <w:tcW w:w="2272" w:type="dxa"/>
          </w:tcPr>
          <w:p>
            <w:pPr>
              <w:pStyle w:val="207"/>
              <w:spacing w:before="110" w:line="440" w:lineRule="exact"/>
              <w:ind w:right="0"/>
              <w:jc w:val="center"/>
              <w:rPr>
                <w:b/>
                <w:color w:val="auto"/>
                <w:sz w:val="21"/>
                <w:highlight w:val="none"/>
              </w:rPr>
            </w:pPr>
            <w:r>
              <w:rPr>
                <w:rFonts w:hint="eastAsia"/>
                <w:b/>
                <w:color w:val="auto"/>
                <w:szCs w:val="21"/>
                <w:highlight w:val="none"/>
              </w:rPr>
              <w:t>服务名称</w:t>
            </w:r>
          </w:p>
        </w:tc>
        <w:tc>
          <w:tcPr>
            <w:tcW w:w="1515" w:type="dxa"/>
          </w:tcPr>
          <w:p>
            <w:pPr>
              <w:pStyle w:val="207"/>
              <w:spacing w:before="110" w:line="440" w:lineRule="exact"/>
              <w:ind w:left="196" w:right="0"/>
              <w:rPr>
                <w:b/>
                <w:color w:val="auto"/>
                <w:sz w:val="21"/>
                <w:highlight w:val="none"/>
              </w:rPr>
            </w:pPr>
            <w:r>
              <w:rPr>
                <w:rFonts w:hint="eastAsia"/>
                <w:b/>
                <w:color w:val="auto"/>
                <w:sz w:val="21"/>
                <w:highlight w:val="none"/>
              </w:rPr>
              <w:t>数量①</w:t>
            </w:r>
          </w:p>
        </w:tc>
        <w:tc>
          <w:tcPr>
            <w:tcW w:w="1212" w:type="dxa"/>
          </w:tcPr>
          <w:p>
            <w:pPr>
              <w:pStyle w:val="207"/>
              <w:spacing w:before="110" w:line="440" w:lineRule="exact"/>
              <w:ind w:left="215" w:right="0"/>
              <w:rPr>
                <w:b/>
                <w:color w:val="auto"/>
                <w:sz w:val="21"/>
                <w:highlight w:val="none"/>
              </w:rPr>
            </w:pPr>
            <w:r>
              <w:rPr>
                <w:rFonts w:hint="eastAsia"/>
                <w:b/>
                <w:color w:val="auto"/>
                <w:sz w:val="21"/>
                <w:highlight w:val="none"/>
              </w:rPr>
              <w:t>单位</w:t>
            </w:r>
          </w:p>
        </w:tc>
        <w:tc>
          <w:tcPr>
            <w:tcW w:w="1514" w:type="dxa"/>
          </w:tcPr>
          <w:p>
            <w:pPr>
              <w:pStyle w:val="207"/>
              <w:spacing w:before="110" w:line="440" w:lineRule="exact"/>
              <w:ind w:left="206" w:right="0"/>
              <w:rPr>
                <w:b/>
                <w:color w:val="auto"/>
                <w:sz w:val="21"/>
                <w:highlight w:val="none"/>
              </w:rPr>
            </w:pPr>
            <w:r>
              <w:rPr>
                <w:rFonts w:hint="eastAsia"/>
                <w:b/>
                <w:color w:val="auto"/>
                <w:sz w:val="21"/>
                <w:highlight w:val="none"/>
              </w:rPr>
              <w:t>单价②</w:t>
            </w:r>
          </w:p>
        </w:tc>
        <w:tc>
          <w:tcPr>
            <w:tcW w:w="1970" w:type="dxa"/>
          </w:tcPr>
          <w:p>
            <w:pPr>
              <w:pStyle w:val="207"/>
              <w:spacing w:line="440" w:lineRule="exact"/>
              <w:ind w:left="0" w:right="0"/>
              <w:jc w:val="center"/>
              <w:rPr>
                <w:b/>
                <w:color w:val="auto"/>
                <w:sz w:val="21"/>
                <w:highlight w:val="none"/>
              </w:rPr>
            </w:pPr>
            <w:r>
              <w:rPr>
                <w:rFonts w:hint="eastAsia"/>
                <w:b/>
                <w:color w:val="auto"/>
                <w:sz w:val="21"/>
                <w:highlight w:val="none"/>
                <w:lang w:eastAsia="zh-CN"/>
              </w:rPr>
              <w:t>竞标</w:t>
            </w:r>
            <w:r>
              <w:rPr>
                <w:rFonts w:hint="eastAsia"/>
                <w:b/>
                <w:color w:val="auto"/>
                <w:sz w:val="21"/>
                <w:highlight w:val="none"/>
              </w:rPr>
              <w:t>报价</w:t>
            </w:r>
          </w:p>
          <w:p>
            <w:pPr>
              <w:pStyle w:val="207"/>
              <w:spacing w:line="440" w:lineRule="exact"/>
              <w:ind w:left="0" w:right="0"/>
              <w:jc w:val="center"/>
              <w:rPr>
                <w:b/>
                <w:color w:val="auto"/>
                <w:sz w:val="21"/>
                <w:highlight w:val="none"/>
              </w:rPr>
            </w:pPr>
            <w:r>
              <w:rPr>
                <w:rFonts w:hint="eastAsia"/>
                <w:b/>
                <w:color w:val="auto"/>
                <w:sz w:val="21"/>
                <w:highlight w:val="none"/>
              </w:rPr>
              <w:t>③=①×②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exact"/>
        </w:trPr>
        <w:tc>
          <w:tcPr>
            <w:tcW w:w="1213" w:type="dxa"/>
          </w:tcPr>
          <w:p>
            <w:pPr>
              <w:pStyle w:val="207"/>
              <w:spacing w:before="38" w:line="440" w:lineRule="exact"/>
              <w:ind w:left="0" w:right="0"/>
              <w:jc w:val="center"/>
              <w:rPr>
                <w:color w:val="auto"/>
                <w:sz w:val="21"/>
                <w:highlight w:val="none"/>
              </w:rPr>
            </w:pPr>
            <w:r>
              <w:rPr>
                <w:rFonts w:hint="eastAsia"/>
                <w:color w:val="auto"/>
                <w:sz w:val="21"/>
                <w:highlight w:val="none"/>
              </w:rPr>
              <w:t>1</w:t>
            </w:r>
          </w:p>
        </w:tc>
        <w:tc>
          <w:tcPr>
            <w:tcW w:w="2272" w:type="dxa"/>
          </w:tcPr>
          <w:p>
            <w:pPr>
              <w:spacing w:line="440" w:lineRule="exact"/>
              <w:rPr>
                <w:rFonts w:ascii="宋体" w:hAnsi="宋体" w:cs="宋体"/>
                <w:color w:val="auto"/>
                <w:highlight w:val="none"/>
              </w:rPr>
            </w:pPr>
          </w:p>
        </w:tc>
        <w:tc>
          <w:tcPr>
            <w:tcW w:w="1515" w:type="dxa"/>
          </w:tcPr>
          <w:p>
            <w:pPr>
              <w:spacing w:line="440" w:lineRule="exact"/>
              <w:rPr>
                <w:rFonts w:ascii="宋体" w:hAnsi="宋体" w:cs="宋体"/>
                <w:color w:val="auto"/>
                <w:highlight w:val="none"/>
              </w:rPr>
            </w:pPr>
          </w:p>
        </w:tc>
        <w:tc>
          <w:tcPr>
            <w:tcW w:w="1212" w:type="dxa"/>
          </w:tcPr>
          <w:p>
            <w:pPr>
              <w:spacing w:line="440" w:lineRule="exact"/>
              <w:rPr>
                <w:rFonts w:ascii="宋体" w:hAnsi="宋体" w:cs="宋体"/>
                <w:color w:val="auto"/>
                <w:highlight w:val="none"/>
              </w:rPr>
            </w:pPr>
          </w:p>
        </w:tc>
        <w:tc>
          <w:tcPr>
            <w:tcW w:w="1514" w:type="dxa"/>
          </w:tcPr>
          <w:p>
            <w:pPr>
              <w:spacing w:line="440" w:lineRule="exact"/>
              <w:rPr>
                <w:rFonts w:ascii="宋体" w:hAnsi="宋体" w:cs="宋体"/>
                <w:color w:val="auto"/>
                <w:highlight w:val="none"/>
              </w:rPr>
            </w:pPr>
          </w:p>
        </w:tc>
        <w:tc>
          <w:tcPr>
            <w:tcW w:w="1970" w:type="dxa"/>
          </w:tcPr>
          <w:p>
            <w:pPr>
              <w:spacing w:line="440" w:lineRule="exact"/>
              <w:rPr>
                <w:rFonts w:ascii="宋体" w:hAnsi="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exact"/>
        </w:trPr>
        <w:tc>
          <w:tcPr>
            <w:tcW w:w="1213" w:type="dxa"/>
          </w:tcPr>
          <w:p>
            <w:pPr>
              <w:pStyle w:val="207"/>
              <w:spacing w:before="38" w:line="440" w:lineRule="exact"/>
              <w:ind w:left="0" w:right="0"/>
              <w:jc w:val="center"/>
              <w:rPr>
                <w:color w:val="auto"/>
                <w:sz w:val="21"/>
                <w:highlight w:val="none"/>
              </w:rPr>
            </w:pPr>
            <w:r>
              <w:rPr>
                <w:rFonts w:hint="eastAsia"/>
                <w:color w:val="auto"/>
                <w:sz w:val="21"/>
                <w:highlight w:val="none"/>
              </w:rPr>
              <w:t>2</w:t>
            </w:r>
          </w:p>
        </w:tc>
        <w:tc>
          <w:tcPr>
            <w:tcW w:w="2272" w:type="dxa"/>
          </w:tcPr>
          <w:p>
            <w:pPr>
              <w:spacing w:line="440" w:lineRule="exact"/>
              <w:rPr>
                <w:rFonts w:ascii="宋体" w:hAnsi="宋体" w:cs="宋体"/>
                <w:color w:val="auto"/>
                <w:highlight w:val="none"/>
              </w:rPr>
            </w:pPr>
          </w:p>
        </w:tc>
        <w:tc>
          <w:tcPr>
            <w:tcW w:w="1515" w:type="dxa"/>
          </w:tcPr>
          <w:p>
            <w:pPr>
              <w:spacing w:line="440" w:lineRule="exact"/>
              <w:rPr>
                <w:rFonts w:ascii="宋体" w:hAnsi="宋体" w:cs="宋体"/>
                <w:color w:val="auto"/>
                <w:highlight w:val="none"/>
              </w:rPr>
            </w:pPr>
          </w:p>
        </w:tc>
        <w:tc>
          <w:tcPr>
            <w:tcW w:w="1212" w:type="dxa"/>
          </w:tcPr>
          <w:p>
            <w:pPr>
              <w:spacing w:line="440" w:lineRule="exact"/>
              <w:rPr>
                <w:rFonts w:ascii="宋体" w:hAnsi="宋体" w:cs="宋体"/>
                <w:color w:val="auto"/>
                <w:highlight w:val="none"/>
              </w:rPr>
            </w:pPr>
          </w:p>
        </w:tc>
        <w:tc>
          <w:tcPr>
            <w:tcW w:w="1514" w:type="dxa"/>
          </w:tcPr>
          <w:p>
            <w:pPr>
              <w:spacing w:line="440" w:lineRule="exact"/>
              <w:rPr>
                <w:rFonts w:ascii="宋体" w:hAnsi="宋体" w:cs="宋体"/>
                <w:color w:val="auto"/>
                <w:highlight w:val="none"/>
              </w:rPr>
            </w:pPr>
          </w:p>
        </w:tc>
        <w:tc>
          <w:tcPr>
            <w:tcW w:w="1970" w:type="dxa"/>
          </w:tcPr>
          <w:p>
            <w:pPr>
              <w:spacing w:line="440" w:lineRule="exact"/>
              <w:rPr>
                <w:rFonts w:ascii="宋体" w:hAnsi="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exact"/>
        </w:trPr>
        <w:tc>
          <w:tcPr>
            <w:tcW w:w="1213" w:type="dxa"/>
          </w:tcPr>
          <w:p>
            <w:pPr>
              <w:pStyle w:val="207"/>
              <w:spacing w:before="38" w:line="440" w:lineRule="exact"/>
              <w:ind w:left="0" w:right="0"/>
              <w:jc w:val="center"/>
              <w:rPr>
                <w:color w:val="auto"/>
                <w:sz w:val="21"/>
                <w:highlight w:val="none"/>
              </w:rPr>
            </w:pPr>
            <w:r>
              <w:rPr>
                <w:rFonts w:hint="eastAsia"/>
                <w:color w:val="auto"/>
                <w:sz w:val="21"/>
                <w:highlight w:val="none"/>
              </w:rPr>
              <w:t>…</w:t>
            </w:r>
          </w:p>
        </w:tc>
        <w:tc>
          <w:tcPr>
            <w:tcW w:w="2272" w:type="dxa"/>
          </w:tcPr>
          <w:p>
            <w:pPr>
              <w:spacing w:line="440" w:lineRule="exact"/>
              <w:rPr>
                <w:rFonts w:ascii="宋体" w:hAnsi="宋体" w:cs="宋体"/>
                <w:color w:val="auto"/>
                <w:highlight w:val="none"/>
              </w:rPr>
            </w:pPr>
          </w:p>
        </w:tc>
        <w:tc>
          <w:tcPr>
            <w:tcW w:w="1515" w:type="dxa"/>
          </w:tcPr>
          <w:p>
            <w:pPr>
              <w:spacing w:line="440" w:lineRule="exact"/>
              <w:rPr>
                <w:rFonts w:ascii="宋体" w:hAnsi="宋体" w:cs="宋体"/>
                <w:color w:val="auto"/>
                <w:highlight w:val="none"/>
              </w:rPr>
            </w:pPr>
          </w:p>
        </w:tc>
        <w:tc>
          <w:tcPr>
            <w:tcW w:w="1212" w:type="dxa"/>
          </w:tcPr>
          <w:p>
            <w:pPr>
              <w:spacing w:line="440" w:lineRule="exact"/>
              <w:rPr>
                <w:rFonts w:ascii="宋体" w:hAnsi="宋体" w:cs="宋体"/>
                <w:color w:val="auto"/>
                <w:highlight w:val="none"/>
              </w:rPr>
            </w:pPr>
          </w:p>
        </w:tc>
        <w:tc>
          <w:tcPr>
            <w:tcW w:w="1514" w:type="dxa"/>
          </w:tcPr>
          <w:p>
            <w:pPr>
              <w:spacing w:line="440" w:lineRule="exact"/>
              <w:rPr>
                <w:rFonts w:ascii="宋体" w:hAnsi="宋体" w:cs="宋体"/>
                <w:color w:val="auto"/>
                <w:highlight w:val="none"/>
              </w:rPr>
            </w:pPr>
          </w:p>
        </w:tc>
        <w:tc>
          <w:tcPr>
            <w:tcW w:w="1970" w:type="dxa"/>
          </w:tcPr>
          <w:p>
            <w:pPr>
              <w:spacing w:line="440" w:lineRule="exact"/>
              <w:rPr>
                <w:rFonts w:ascii="宋体" w:hAnsi="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exact"/>
        </w:trPr>
        <w:tc>
          <w:tcPr>
            <w:tcW w:w="1213" w:type="dxa"/>
          </w:tcPr>
          <w:p>
            <w:pPr>
              <w:pStyle w:val="207"/>
              <w:spacing w:before="38" w:line="440" w:lineRule="exact"/>
              <w:ind w:left="0" w:right="0"/>
              <w:jc w:val="center"/>
              <w:rPr>
                <w:color w:val="auto"/>
                <w:sz w:val="21"/>
                <w:highlight w:val="none"/>
              </w:rPr>
            </w:pPr>
            <w:r>
              <w:rPr>
                <w:rFonts w:hint="eastAsia"/>
                <w:color w:val="auto"/>
                <w:sz w:val="21"/>
                <w:highlight w:val="none"/>
              </w:rPr>
              <w:t>N</w:t>
            </w:r>
          </w:p>
        </w:tc>
        <w:tc>
          <w:tcPr>
            <w:tcW w:w="2272" w:type="dxa"/>
          </w:tcPr>
          <w:p>
            <w:pPr>
              <w:spacing w:line="440" w:lineRule="exact"/>
              <w:rPr>
                <w:rFonts w:ascii="宋体" w:hAnsi="宋体" w:cs="宋体"/>
                <w:color w:val="auto"/>
                <w:highlight w:val="none"/>
              </w:rPr>
            </w:pPr>
          </w:p>
        </w:tc>
        <w:tc>
          <w:tcPr>
            <w:tcW w:w="1515" w:type="dxa"/>
          </w:tcPr>
          <w:p>
            <w:pPr>
              <w:spacing w:line="440" w:lineRule="exact"/>
              <w:rPr>
                <w:rFonts w:ascii="宋体" w:hAnsi="宋体" w:cs="宋体"/>
                <w:color w:val="auto"/>
                <w:highlight w:val="none"/>
              </w:rPr>
            </w:pPr>
          </w:p>
        </w:tc>
        <w:tc>
          <w:tcPr>
            <w:tcW w:w="1212" w:type="dxa"/>
          </w:tcPr>
          <w:p>
            <w:pPr>
              <w:spacing w:line="440" w:lineRule="exact"/>
              <w:rPr>
                <w:rFonts w:ascii="宋体" w:hAnsi="宋体" w:cs="宋体"/>
                <w:color w:val="auto"/>
                <w:highlight w:val="none"/>
              </w:rPr>
            </w:pPr>
          </w:p>
        </w:tc>
        <w:tc>
          <w:tcPr>
            <w:tcW w:w="1514" w:type="dxa"/>
          </w:tcPr>
          <w:p>
            <w:pPr>
              <w:spacing w:line="440" w:lineRule="exact"/>
              <w:rPr>
                <w:rFonts w:ascii="宋体" w:hAnsi="宋体" w:cs="宋体"/>
                <w:color w:val="auto"/>
                <w:highlight w:val="none"/>
              </w:rPr>
            </w:pPr>
          </w:p>
        </w:tc>
        <w:tc>
          <w:tcPr>
            <w:tcW w:w="1970" w:type="dxa"/>
          </w:tcPr>
          <w:p>
            <w:pPr>
              <w:spacing w:line="440" w:lineRule="exact"/>
              <w:rPr>
                <w:rFonts w:ascii="宋体" w:hAnsi="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exact"/>
        </w:trPr>
        <w:tc>
          <w:tcPr>
            <w:tcW w:w="9696" w:type="dxa"/>
            <w:gridSpan w:val="6"/>
            <w:vAlign w:val="center"/>
          </w:tcPr>
          <w:p>
            <w:pPr>
              <w:pStyle w:val="207"/>
              <w:tabs>
                <w:tab w:val="left" w:pos="2931"/>
                <w:tab w:val="left" w:pos="4620"/>
                <w:tab w:val="left" w:pos="7020"/>
                <w:tab w:val="left" w:pos="7905"/>
                <w:tab w:val="left" w:pos="8140"/>
              </w:tabs>
              <w:spacing w:before="14" w:line="440" w:lineRule="exact"/>
              <w:ind w:left="105" w:right="142"/>
              <w:rPr>
                <w:color w:val="auto"/>
                <w:sz w:val="24"/>
                <w:highlight w:val="none"/>
                <w:lang w:eastAsia="zh-CN"/>
              </w:rPr>
            </w:pPr>
            <w:r>
              <w:rPr>
                <w:rFonts w:hint="eastAsia"/>
                <w:color w:val="auto"/>
                <w:sz w:val="21"/>
                <w:szCs w:val="21"/>
                <w:highlight w:val="none"/>
                <w:lang w:eastAsia="zh-CN"/>
              </w:rPr>
              <w:t>投标报价（合计金额）大写：人民币</w:t>
            </w:r>
            <w:r>
              <w:rPr>
                <w:rFonts w:hint="eastAsia"/>
                <w:color w:val="auto"/>
                <w:szCs w:val="21"/>
                <w:highlight w:val="none"/>
                <w:u w:val="single"/>
                <w:lang w:eastAsia="zh-CN"/>
              </w:rPr>
              <w:tab/>
            </w:r>
            <w:r>
              <w:rPr>
                <w:rFonts w:hint="eastAsia"/>
                <w:color w:val="auto"/>
                <w:szCs w:val="21"/>
                <w:highlight w:val="none"/>
                <w:u w:val="single"/>
                <w:lang w:eastAsia="zh-CN"/>
              </w:rPr>
              <w:tab/>
            </w:r>
            <w:r>
              <w:rPr>
                <w:rFonts w:hint="eastAsia"/>
                <w:color w:val="auto"/>
                <w:szCs w:val="21"/>
                <w:highlight w:val="none"/>
                <w:lang w:eastAsia="zh-CN"/>
              </w:rPr>
              <w:t>（￥</w:t>
            </w:r>
            <w:r>
              <w:rPr>
                <w:rFonts w:hint="eastAsia"/>
                <w:color w:val="auto"/>
                <w:szCs w:val="21"/>
                <w:highlight w:val="none"/>
                <w:u w:val="single"/>
                <w:lang w:eastAsia="zh-CN"/>
              </w:rPr>
              <w:tab/>
            </w:r>
            <w:r>
              <w:rPr>
                <w:rFonts w:hint="eastAsia"/>
                <w:color w:val="auto"/>
                <w:szCs w:val="21"/>
                <w:highlight w:val="none"/>
                <w:u w:val="single"/>
                <w:lang w:eastAsia="zh-CN"/>
              </w:rPr>
              <w:tab/>
            </w:r>
            <w:r>
              <w:rPr>
                <w:rFonts w:hint="eastAsia"/>
                <w:color w:val="auto"/>
                <w:szCs w:val="21"/>
                <w:highlight w:val="none"/>
                <w:u w:val="single"/>
                <w:lang w:eastAsia="zh-CN"/>
              </w:rPr>
              <w:tab/>
            </w:r>
            <w:r>
              <w:rPr>
                <w:rFonts w:hint="eastAsia"/>
                <w:color w:val="auto"/>
                <w:szCs w:val="21"/>
                <w:highlight w:val="none"/>
                <w:lang w:eastAsia="zh-CN"/>
              </w:rPr>
              <w:t>）。</w:t>
            </w:r>
          </w:p>
        </w:tc>
      </w:tr>
    </w:tbl>
    <w:p>
      <w:pPr>
        <w:spacing w:line="440" w:lineRule="exact"/>
        <w:rPr>
          <w:rFonts w:ascii="宋体" w:hAnsi="宋体" w:cs="宋体"/>
          <w:color w:val="auto"/>
          <w:szCs w:val="21"/>
          <w:highlight w:val="none"/>
        </w:rPr>
      </w:pP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注： </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参加磋商的供应商在规定时间内提交最后报价时，须附相应的报价明细表（最后报价明细表应按以上格式要求提供），并且最后报价金额须与最后报价明细表的合计金额相等，否则须在规定时间内按最后报价金额调整最后报价明细表的金额。</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2、所有价格均用人民币表示，单位为元，精确到个位。</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3、报价一经涂改，应在涂改处加盖单位公章或者由法定代表人或授权委托人签字，否则其报价无效。</w:t>
      </w:r>
    </w:p>
    <w:p>
      <w:pPr>
        <w:spacing w:line="440" w:lineRule="exact"/>
        <w:rPr>
          <w:rFonts w:ascii="宋体" w:hAnsi="宋体" w:cs="宋体"/>
          <w:color w:val="auto"/>
          <w:szCs w:val="21"/>
          <w:highlight w:val="none"/>
        </w:rPr>
      </w:pPr>
    </w:p>
    <w:p>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pPr>
        <w:spacing w:line="44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pPr>
        <w:spacing w:line="440" w:lineRule="exact"/>
        <w:jc w:val="left"/>
        <w:rPr>
          <w:rFonts w:ascii="宋体" w:hAnsi="宋体" w:cs="宋体"/>
          <w:b/>
          <w:color w:val="auto"/>
          <w:szCs w:val="21"/>
          <w:highlight w:val="none"/>
        </w:rPr>
      </w:pPr>
      <w:r>
        <w:rPr>
          <w:rFonts w:hint="eastAsia" w:ascii="宋体" w:hAnsi="宋体" w:cs="宋体"/>
          <w:color w:val="auto"/>
          <w:szCs w:val="21"/>
          <w:highlight w:val="none"/>
        </w:rPr>
        <w:br w:type="page"/>
      </w:r>
      <w:r>
        <w:rPr>
          <w:rFonts w:hint="eastAsia" w:ascii="宋体" w:hAnsi="宋体" w:cs="宋体"/>
          <w:b/>
          <w:color w:val="auto"/>
          <w:szCs w:val="21"/>
          <w:highlight w:val="none"/>
        </w:rPr>
        <w:t>三、中小企业声明函格式</w:t>
      </w:r>
    </w:p>
    <w:p>
      <w:pPr>
        <w:widowControl/>
        <w:spacing w:before="100" w:beforeAutospacing="1" w:after="100" w:afterAutospacing="1" w:line="440" w:lineRule="exact"/>
        <w:jc w:val="center"/>
        <w:textAlignment w:val="top"/>
        <w:rPr>
          <w:rFonts w:ascii="宋体" w:hAnsi="宋体" w:cs="宋体"/>
          <w:color w:val="auto"/>
          <w:kern w:val="0"/>
          <w:szCs w:val="21"/>
          <w:highlight w:val="none"/>
        </w:rPr>
      </w:pPr>
      <w:r>
        <w:rPr>
          <w:rFonts w:hint="eastAsia" w:ascii="宋体" w:hAnsi="宋体" w:cs="宋体"/>
          <w:b/>
          <w:bCs/>
          <w:color w:val="auto"/>
          <w:kern w:val="0"/>
          <w:sz w:val="30"/>
          <w:highlight w:val="none"/>
        </w:rPr>
        <w:t>中小企业声明函</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说明：</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1、本声明函主要供参加政府采购活动的中小企业填写，非中小企业无需填写。</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2、小型、微型企业提供中型企业提供的货物的，视同为中型企业。</w:t>
      </w:r>
    </w:p>
    <w:p>
      <w:pPr>
        <w:spacing w:line="440" w:lineRule="exact"/>
        <w:ind w:firstLine="420" w:firstLineChars="200"/>
        <w:rPr>
          <w:rFonts w:ascii="宋体" w:hAnsi="宋体" w:cs="宋体"/>
          <w:color w:val="auto"/>
          <w:szCs w:val="21"/>
          <w:highlight w:val="none"/>
        </w:rPr>
      </w:pPr>
    </w:p>
    <w:p>
      <w:pPr>
        <w:spacing w:line="44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本公司（联合体）郑重声明，根据《政府采购促进中小企业发展管理办法》（财库﹝2020﹞46号）的规定，本公司（联合体）参加</w:t>
      </w:r>
      <w:r>
        <w:rPr>
          <w:rFonts w:hint="eastAsia" w:ascii="宋体" w:hAnsi="宋体" w:cs="宋体"/>
          <w:color w:val="auto"/>
          <w:szCs w:val="21"/>
          <w:highlight w:val="none"/>
          <w:u w:val="single"/>
        </w:rPr>
        <w:t>（单位名称）</w:t>
      </w:r>
      <w:r>
        <w:rPr>
          <w:rFonts w:hint="eastAsia" w:ascii="宋体" w:hAnsi="宋体" w:cs="宋体"/>
          <w:color w:val="auto"/>
          <w:szCs w:val="21"/>
          <w:highlight w:val="none"/>
        </w:rPr>
        <w:t>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采购活动，服务全部由符合政策要求的中小企业制造。相关企业（含联合体中的中小企业、签订分包意向协议的中小企业）的具体情况如下：</w:t>
      </w:r>
    </w:p>
    <w:p>
      <w:pPr>
        <w:tabs>
          <w:tab w:val="left" w:pos="1384"/>
          <w:tab w:val="left" w:pos="4562"/>
          <w:tab w:val="left" w:pos="6803"/>
        </w:tabs>
        <w:spacing w:line="44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行业；承接企业为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pPr>
        <w:tabs>
          <w:tab w:val="left" w:pos="1065"/>
          <w:tab w:val="left" w:pos="6477"/>
        </w:tabs>
        <w:spacing w:line="44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行业；承接企业为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pPr>
        <w:spacing w:line="44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 xml:space="preserve">…… </w:t>
      </w:r>
    </w:p>
    <w:p>
      <w:pPr>
        <w:spacing w:line="44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以上企业，不属于大企业的分支机构，不存在控股股东为大企业的情形，也不存在与大企业的负责人为同一人的情形。</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本企业对上述声明内容的真实性负责。如有虚假，将依法承担相应责任。</w:t>
      </w:r>
    </w:p>
    <w:p>
      <w:pPr>
        <w:spacing w:line="440" w:lineRule="exact"/>
        <w:ind w:firstLine="3150" w:firstLineChars="1500"/>
        <w:rPr>
          <w:rFonts w:ascii="宋体" w:hAnsi="宋体" w:cs="宋体"/>
          <w:color w:val="auto"/>
          <w:szCs w:val="21"/>
          <w:highlight w:val="none"/>
        </w:rPr>
      </w:pPr>
    </w:p>
    <w:p>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pPr>
        <w:spacing w:line="44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pPr>
        <w:spacing w:line="440" w:lineRule="exact"/>
        <w:ind w:firstLine="420" w:firstLineChars="200"/>
        <w:rPr>
          <w:rFonts w:ascii="宋体" w:hAnsi="宋体" w:cs="宋体"/>
          <w:color w:val="auto"/>
          <w:szCs w:val="21"/>
          <w:highlight w:val="none"/>
        </w:rPr>
      </w:pPr>
    </w:p>
    <w:p>
      <w:pPr>
        <w:spacing w:line="440" w:lineRule="exact"/>
        <w:ind w:firstLine="420" w:firstLineChars="200"/>
        <w:rPr>
          <w:rFonts w:ascii="宋体" w:hAnsi="宋体" w:cs="宋体"/>
          <w:color w:val="auto"/>
          <w:szCs w:val="21"/>
          <w:highlight w:val="none"/>
        </w:rPr>
      </w:pPr>
    </w:p>
    <w:p>
      <w:pPr>
        <w:spacing w:line="440" w:lineRule="exact"/>
        <w:ind w:firstLine="420" w:firstLineChars="200"/>
        <w:rPr>
          <w:rFonts w:ascii="宋体" w:hAnsi="宋体" w:cs="宋体"/>
          <w:color w:val="auto"/>
          <w:szCs w:val="21"/>
          <w:highlight w:val="none"/>
        </w:rPr>
      </w:pP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注：</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1、从业人员、营业收入、资产总额填报上一年度数据，无上一年度数据的新成立企业可不填报。</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2、请根据自己的真实情况出具《中小企业声明函》。依法享受中小企业优惠政策的，采购人或者采购代理机构在公告中标结果时，同时公告其《中小企业声明函》，接受社会监督。</w:t>
      </w:r>
    </w:p>
    <w:p>
      <w:pPr>
        <w:widowControl/>
        <w:spacing w:before="100" w:beforeAutospacing="1" w:after="100" w:afterAutospacing="1" w:line="440" w:lineRule="exact"/>
        <w:jc w:val="left"/>
        <w:textAlignment w:val="top"/>
        <w:rPr>
          <w:rFonts w:ascii="宋体" w:hAnsi="宋体" w:cs="宋体"/>
          <w:color w:val="auto"/>
          <w:szCs w:val="21"/>
          <w:highlight w:val="none"/>
        </w:rPr>
      </w:pPr>
    </w:p>
    <w:p>
      <w:pPr>
        <w:widowControl/>
        <w:spacing w:before="100" w:beforeAutospacing="1" w:after="100" w:afterAutospacing="1" w:line="440" w:lineRule="exact"/>
        <w:jc w:val="left"/>
        <w:textAlignment w:val="top"/>
        <w:rPr>
          <w:rFonts w:ascii="宋体" w:hAnsi="宋体" w:cs="宋体"/>
          <w:b/>
          <w:color w:val="auto"/>
          <w:szCs w:val="21"/>
          <w:highlight w:val="none"/>
        </w:rPr>
      </w:pPr>
    </w:p>
    <w:p>
      <w:pPr>
        <w:widowControl/>
        <w:spacing w:before="100" w:beforeAutospacing="1" w:after="100" w:afterAutospacing="1" w:line="440" w:lineRule="exact"/>
        <w:jc w:val="left"/>
        <w:textAlignment w:val="top"/>
        <w:rPr>
          <w:rFonts w:ascii="宋体" w:hAnsi="宋体" w:cs="宋体"/>
          <w:b/>
          <w:bCs/>
          <w:color w:val="auto"/>
          <w:highlight w:val="none"/>
        </w:rPr>
      </w:pPr>
      <w:r>
        <w:rPr>
          <w:rFonts w:hint="eastAsia" w:ascii="宋体" w:hAnsi="宋体" w:cs="宋体"/>
          <w:b/>
          <w:color w:val="auto"/>
          <w:szCs w:val="21"/>
          <w:highlight w:val="none"/>
        </w:rPr>
        <w:t>四、残疾人福利性单位声明函格式</w:t>
      </w:r>
    </w:p>
    <w:p>
      <w:pPr>
        <w:widowControl/>
        <w:spacing w:before="100" w:beforeAutospacing="1" w:after="100" w:afterAutospacing="1" w:line="440" w:lineRule="exact"/>
        <w:jc w:val="center"/>
        <w:textAlignment w:val="top"/>
        <w:rPr>
          <w:rFonts w:ascii="宋体" w:hAnsi="宋体" w:cs="宋体"/>
          <w:b/>
          <w:color w:val="auto"/>
          <w:sz w:val="32"/>
          <w:szCs w:val="32"/>
          <w:highlight w:val="none"/>
        </w:rPr>
      </w:pPr>
      <w:r>
        <w:rPr>
          <w:rFonts w:hint="eastAsia" w:ascii="宋体" w:hAnsi="宋体" w:cs="宋体"/>
          <w:b/>
          <w:color w:val="auto"/>
          <w:sz w:val="32"/>
          <w:szCs w:val="32"/>
          <w:highlight w:val="none"/>
        </w:rPr>
        <w:t>残疾人福利性单位声明函</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本单位对上述声明的真实性负责。如有虚假，将依法承担相应责任。</w:t>
      </w:r>
    </w:p>
    <w:p>
      <w:pPr>
        <w:spacing w:line="440" w:lineRule="exact"/>
        <w:ind w:firstLine="420" w:firstLineChars="200"/>
        <w:rPr>
          <w:rFonts w:ascii="宋体" w:hAnsi="宋体" w:cs="宋体"/>
          <w:color w:val="auto"/>
          <w:szCs w:val="21"/>
          <w:highlight w:val="none"/>
        </w:rPr>
      </w:pPr>
    </w:p>
    <w:p>
      <w:pPr>
        <w:spacing w:line="440" w:lineRule="exact"/>
        <w:ind w:firstLine="420" w:firstLineChars="200"/>
        <w:rPr>
          <w:rFonts w:ascii="宋体" w:hAnsi="宋体" w:cs="宋体"/>
          <w:color w:val="auto"/>
          <w:szCs w:val="21"/>
          <w:highlight w:val="none"/>
        </w:rPr>
      </w:pPr>
    </w:p>
    <w:p>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pPr>
        <w:spacing w:line="44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pPr>
        <w:spacing w:line="440" w:lineRule="exact"/>
        <w:ind w:firstLine="420" w:firstLineChars="200"/>
        <w:rPr>
          <w:rFonts w:ascii="宋体" w:hAnsi="宋体" w:cs="宋体"/>
          <w:color w:val="auto"/>
          <w:szCs w:val="21"/>
          <w:highlight w:val="none"/>
        </w:rPr>
      </w:pPr>
    </w:p>
    <w:p>
      <w:pPr>
        <w:widowControl/>
        <w:spacing w:before="100" w:beforeAutospacing="1" w:after="100" w:afterAutospacing="1" w:line="440" w:lineRule="exact"/>
        <w:ind w:firstLine="420"/>
        <w:jc w:val="left"/>
        <w:textAlignment w:val="top"/>
        <w:rPr>
          <w:rFonts w:ascii="宋体" w:hAnsi="宋体" w:cs="宋体"/>
          <w:color w:val="auto"/>
          <w:kern w:val="0"/>
          <w:szCs w:val="21"/>
          <w:highlight w:val="none"/>
        </w:rPr>
        <w:sectPr>
          <w:pgSz w:w="11906" w:h="16838"/>
          <w:pgMar w:top="1134" w:right="1247" w:bottom="1134" w:left="1247" w:header="851" w:footer="992" w:gutter="0"/>
          <w:cols w:space="720" w:num="1"/>
          <w:docGrid w:linePitch="312" w:charSpace="0"/>
        </w:sectPr>
      </w:pPr>
      <w:r>
        <w:rPr>
          <w:rFonts w:hint="eastAsia" w:ascii="宋体" w:hAnsi="宋体" w:cs="宋体"/>
          <w:color w:val="auto"/>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pPr>
        <w:pStyle w:val="4"/>
        <w:spacing w:line="440" w:lineRule="exact"/>
        <w:jc w:val="center"/>
        <w:rPr>
          <w:rFonts w:ascii="宋体" w:hAnsi="宋体" w:cs="宋体"/>
          <w:color w:val="auto"/>
          <w:sz w:val="28"/>
          <w:szCs w:val="28"/>
          <w:highlight w:val="none"/>
        </w:rPr>
      </w:pPr>
      <w:bookmarkStart w:id="70" w:name="_Toc88747295"/>
      <w:r>
        <w:rPr>
          <w:rFonts w:hint="eastAsia" w:ascii="宋体" w:hAnsi="宋体" w:cs="宋体"/>
          <w:color w:val="auto"/>
          <w:sz w:val="28"/>
          <w:szCs w:val="28"/>
          <w:highlight w:val="none"/>
        </w:rPr>
        <w:t>第五章 合同主要条款</w:t>
      </w:r>
      <w:bookmarkEnd w:id="70"/>
    </w:p>
    <w:p>
      <w:pPr>
        <w:spacing w:line="440" w:lineRule="exact"/>
        <w:rPr>
          <w:rFonts w:ascii="宋体" w:hAnsi="宋体" w:cs="宋体"/>
          <w:color w:val="auto"/>
          <w:sz w:val="24"/>
          <w:highlight w:val="none"/>
        </w:rPr>
      </w:pPr>
    </w:p>
    <w:p>
      <w:pPr>
        <w:jc w:val="center"/>
        <w:rPr>
          <w:rFonts w:ascii="宋体" w:hAnsi="宋体" w:cs="宋体"/>
          <w:b/>
          <w:bCs/>
          <w:color w:val="auto"/>
          <w:sz w:val="52"/>
          <w:szCs w:val="52"/>
          <w:highlight w:val="none"/>
        </w:rPr>
      </w:pPr>
    </w:p>
    <w:p>
      <w:pPr>
        <w:jc w:val="center"/>
        <w:rPr>
          <w:rFonts w:ascii="宋体" w:hAnsi="宋体" w:cs="宋体"/>
          <w:b/>
          <w:bCs/>
          <w:color w:val="auto"/>
          <w:sz w:val="52"/>
          <w:szCs w:val="52"/>
          <w:highlight w:val="none"/>
        </w:rPr>
      </w:pPr>
      <w:r>
        <w:rPr>
          <w:rFonts w:hint="eastAsia" w:ascii="宋体" w:hAnsi="宋体" w:cs="宋体"/>
          <w:b/>
          <w:bCs/>
          <w:color w:val="auto"/>
          <w:sz w:val="52"/>
          <w:szCs w:val="52"/>
          <w:highlight w:val="none"/>
        </w:rPr>
        <w:t xml:space="preserve"> </w:t>
      </w:r>
    </w:p>
    <w:p>
      <w:pPr>
        <w:jc w:val="center"/>
        <w:rPr>
          <w:rFonts w:ascii="宋体" w:hAnsi="宋体" w:cs="宋体"/>
          <w:b/>
          <w:bCs/>
          <w:color w:val="auto"/>
          <w:sz w:val="52"/>
          <w:szCs w:val="52"/>
          <w:highlight w:val="none"/>
        </w:rPr>
      </w:pPr>
      <w:r>
        <w:rPr>
          <w:rFonts w:hint="eastAsia" w:ascii="宋体" w:hAnsi="宋体" w:cs="宋体"/>
          <w:b/>
          <w:bCs/>
          <w:color w:val="auto"/>
          <w:sz w:val="52"/>
          <w:szCs w:val="52"/>
          <w:highlight w:val="none"/>
        </w:rPr>
        <w:t>广西壮族自治区政府采购合同</w:t>
      </w:r>
    </w:p>
    <w:p>
      <w:pPr>
        <w:rPr>
          <w:rFonts w:ascii="宋体" w:hAnsi="宋体" w:cs="宋体"/>
          <w:color w:val="auto"/>
          <w:szCs w:val="21"/>
          <w:highlight w:val="none"/>
        </w:rPr>
      </w:pPr>
      <w:r>
        <w:rPr>
          <w:rFonts w:hint="eastAsia" w:ascii="宋体" w:hAnsi="宋体" w:cs="宋体"/>
          <w:color w:val="auto"/>
          <w:highlight w:val="none"/>
        </w:rPr>
        <w:t xml:space="preserve"> </w:t>
      </w:r>
    </w:p>
    <w:p>
      <w:pPr>
        <w:rPr>
          <w:rFonts w:ascii="宋体" w:hAnsi="宋体" w:cs="宋体"/>
          <w:color w:val="auto"/>
          <w:highlight w:val="none"/>
        </w:rPr>
      </w:pPr>
      <w:r>
        <w:rPr>
          <w:rFonts w:hint="eastAsia" w:ascii="宋体" w:hAnsi="宋体" w:cs="宋体"/>
          <w:color w:val="auto"/>
          <w:highlight w:val="none"/>
        </w:rPr>
        <w:t xml:space="preserve"> </w:t>
      </w:r>
    </w:p>
    <w:p>
      <w:pPr>
        <w:rPr>
          <w:rFonts w:ascii="宋体" w:hAnsi="宋体" w:cs="宋体"/>
          <w:color w:val="auto"/>
          <w:highlight w:val="none"/>
        </w:rPr>
      </w:pPr>
      <w:r>
        <w:rPr>
          <w:rFonts w:hint="eastAsia" w:ascii="宋体" w:hAnsi="宋体" w:cs="宋体"/>
          <w:color w:val="auto"/>
          <w:highlight w:val="none"/>
        </w:rPr>
        <w:t xml:space="preserve"> </w:t>
      </w:r>
    </w:p>
    <w:p>
      <w:pPr>
        <w:rPr>
          <w:rFonts w:ascii="宋体" w:hAnsi="宋体" w:cs="宋体"/>
          <w:color w:val="auto"/>
          <w:highlight w:val="none"/>
        </w:rPr>
      </w:pPr>
      <w:r>
        <w:rPr>
          <w:rFonts w:hint="eastAsia" w:ascii="宋体" w:hAnsi="宋体" w:cs="宋体"/>
          <w:color w:val="auto"/>
          <w:highlight w:val="none"/>
        </w:rPr>
        <w:t xml:space="preserve"> </w:t>
      </w:r>
    </w:p>
    <w:p>
      <w:pPr>
        <w:rPr>
          <w:rFonts w:ascii="宋体" w:hAnsi="宋体" w:cs="宋体"/>
          <w:color w:val="auto"/>
          <w:highlight w:val="none"/>
        </w:rPr>
      </w:pPr>
    </w:p>
    <w:p>
      <w:pPr>
        <w:rPr>
          <w:rFonts w:ascii="宋体" w:hAnsi="宋体" w:cs="宋体"/>
          <w:color w:val="auto"/>
          <w:highlight w:val="none"/>
        </w:rPr>
      </w:pPr>
      <w:r>
        <w:rPr>
          <w:rFonts w:hint="eastAsia" w:ascii="宋体" w:hAnsi="宋体" w:cs="宋体"/>
          <w:color w:val="auto"/>
          <w:highlight w:val="none"/>
        </w:rPr>
        <w:t xml:space="preserve"> </w:t>
      </w:r>
    </w:p>
    <w:p>
      <w:pPr>
        <w:rPr>
          <w:rFonts w:ascii="宋体" w:hAnsi="宋体" w:cs="宋体"/>
          <w:color w:val="auto"/>
          <w:highlight w:val="none"/>
        </w:rPr>
      </w:pPr>
      <w:r>
        <w:rPr>
          <w:rFonts w:hint="eastAsia" w:ascii="宋体" w:hAnsi="宋体" w:cs="宋体"/>
          <w:color w:val="auto"/>
          <w:highlight w:val="none"/>
        </w:rPr>
        <w:t xml:space="preserve"> </w:t>
      </w:r>
    </w:p>
    <w:p>
      <w:pPr>
        <w:ind w:left="2456" w:hanging="1605"/>
        <w:rPr>
          <w:rFonts w:ascii="宋体" w:hAnsi="宋体" w:cs="宋体"/>
          <w:b/>
          <w:bCs/>
          <w:color w:val="auto"/>
          <w:sz w:val="32"/>
          <w:szCs w:val="32"/>
          <w:highlight w:val="none"/>
          <w:u w:val="single"/>
        </w:rPr>
      </w:pPr>
      <w:r>
        <w:rPr>
          <w:rFonts w:hint="eastAsia" w:ascii="宋体" w:hAnsi="宋体" w:cs="宋体"/>
          <w:b/>
          <w:bCs/>
          <w:color w:val="auto"/>
          <w:sz w:val="32"/>
          <w:szCs w:val="32"/>
          <w:highlight w:val="none"/>
        </w:rPr>
        <w:t>项目名称：</w:t>
      </w:r>
      <w:r>
        <w:rPr>
          <w:rFonts w:hint="eastAsia" w:ascii="宋体" w:hAnsi="宋体" w:cs="宋体"/>
          <w:b/>
          <w:bCs/>
          <w:color w:val="auto"/>
          <w:sz w:val="32"/>
          <w:szCs w:val="32"/>
          <w:highlight w:val="none"/>
          <w:u w:val="single"/>
        </w:rPr>
        <w:t xml:space="preserve">                          </w:t>
      </w:r>
    </w:p>
    <w:p>
      <w:pPr>
        <w:ind w:firstLine="851" w:firstLineChars="265"/>
        <w:rPr>
          <w:rFonts w:ascii="宋体" w:hAnsi="宋体" w:cs="宋体"/>
          <w:b/>
          <w:bCs/>
          <w:color w:val="auto"/>
          <w:sz w:val="32"/>
          <w:szCs w:val="32"/>
          <w:highlight w:val="none"/>
          <w:u w:val="single"/>
        </w:rPr>
      </w:pPr>
      <w:r>
        <w:rPr>
          <w:rFonts w:hint="eastAsia" w:ascii="宋体" w:hAnsi="宋体" w:cs="宋体"/>
          <w:b/>
          <w:bCs/>
          <w:color w:val="auto"/>
          <w:sz w:val="32"/>
          <w:szCs w:val="32"/>
          <w:highlight w:val="none"/>
        </w:rPr>
        <w:t>合同编号：</w:t>
      </w:r>
      <w:r>
        <w:rPr>
          <w:rFonts w:hint="eastAsia" w:ascii="宋体" w:hAnsi="宋体" w:cs="宋体"/>
          <w:b/>
          <w:bCs/>
          <w:color w:val="auto"/>
          <w:sz w:val="32"/>
          <w:szCs w:val="32"/>
          <w:highlight w:val="none"/>
          <w:u w:val="single"/>
        </w:rPr>
        <w:t xml:space="preserve">                          </w:t>
      </w:r>
    </w:p>
    <w:p>
      <w:pPr>
        <w:ind w:firstLine="556" w:firstLineChars="265"/>
        <w:jc w:val="center"/>
        <w:rPr>
          <w:rFonts w:ascii="宋体" w:hAnsi="宋体" w:cs="宋体"/>
          <w:color w:val="auto"/>
          <w:szCs w:val="21"/>
          <w:highlight w:val="none"/>
        </w:rPr>
      </w:pPr>
      <w:r>
        <w:rPr>
          <w:rFonts w:hint="eastAsia" w:ascii="宋体" w:hAnsi="宋体" w:cs="宋体"/>
          <w:color w:val="auto"/>
          <w:highlight w:val="none"/>
        </w:rPr>
        <w:t xml:space="preserve"> </w:t>
      </w:r>
    </w:p>
    <w:p>
      <w:pPr>
        <w:ind w:firstLine="556" w:firstLineChars="265"/>
        <w:jc w:val="center"/>
        <w:rPr>
          <w:rFonts w:ascii="宋体" w:hAnsi="宋体" w:cs="宋体"/>
          <w:color w:val="auto"/>
          <w:highlight w:val="none"/>
        </w:rPr>
      </w:pPr>
      <w:r>
        <w:rPr>
          <w:rFonts w:hint="eastAsia" w:ascii="宋体" w:hAnsi="宋体" w:cs="宋体"/>
          <w:color w:val="auto"/>
          <w:highlight w:val="none"/>
        </w:rPr>
        <w:t xml:space="preserve"> </w:t>
      </w:r>
    </w:p>
    <w:p>
      <w:pPr>
        <w:ind w:firstLine="556" w:firstLineChars="265"/>
        <w:jc w:val="center"/>
        <w:rPr>
          <w:rFonts w:ascii="宋体" w:hAnsi="宋体" w:cs="宋体"/>
          <w:color w:val="auto"/>
          <w:highlight w:val="none"/>
        </w:rPr>
      </w:pPr>
      <w:r>
        <w:rPr>
          <w:rFonts w:hint="eastAsia" w:ascii="宋体" w:hAnsi="宋体" w:cs="宋体"/>
          <w:color w:val="auto"/>
          <w:highlight w:val="none"/>
        </w:rPr>
        <w:t xml:space="preserve"> </w:t>
      </w:r>
    </w:p>
    <w:p>
      <w:pPr>
        <w:ind w:firstLine="851" w:firstLineChars="265"/>
        <w:rPr>
          <w:rFonts w:ascii="宋体" w:hAnsi="宋体" w:cs="宋体"/>
          <w:b/>
          <w:bCs/>
          <w:color w:val="auto"/>
          <w:sz w:val="32"/>
          <w:szCs w:val="32"/>
          <w:highlight w:val="none"/>
          <w:u w:val="single"/>
        </w:rPr>
      </w:pPr>
      <w:r>
        <w:rPr>
          <w:rFonts w:hint="eastAsia" w:ascii="宋体" w:hAnsi="宋体" w:cs="宋体"/>
          <w:b/>
          <w:bCs/>
          <w:color w:val="auto"/>
          <w:sz w:val="32"/>
          <w:szCs w:val="32"/>
          <w:highlight w:val="none"/>
        </w:rPr>
        <w:t>采购单位（甲方）：</w:t>
      </w:r>
      <w:r>
        <w:rPr>
          <w:rFonts w:hint="eastAsia" w:ascii="宋体" w:hAnsi="宋体" w:cs="宋体"/>
          <w:b/>
          <w:bCs/>
          <w:color w:val="auto"/>
          <w:sz w:val="32"/>
          <w:szCs w:val="32"/>
          <w:highlight w:val="none"/>
          <w:u w:val="single"/>
        </w:rPr>
        <w:t xml:space="preserve"> </w:t>
      </w:r>
      <w:r>
        <w:rPr>
          <w:rFonts w:hint="eastAsia" w:ascii="宋体" w:hAnsi="宋体" w:cs="宋体"/>
          <w:b/>
          <w:bCs/>
          <w:color w:val="auto"/>
          <w:sz w:val="32"/>
          <w:szCs w:val="32"/>
          <w:highlight w:val="none"/>
          <w:u w:val="single"/>
          <w:lang w:eastAsia="zh-CN"/>
        </w:rPr>
        <w:t>广西壮族自治区农业信息中心</w:t>
      </w:r>
      <w:r>
        <w:rPr>
          <w:rFonts w:hint="eastAsia" w:ascii="宋体" w:hAnsi="宋体" w:cs="宋体"/>
          <w:b/>
          <w:bCs/>
          <w:color w:val="auto"/>
          <w:sz w:val="32"/>
          <w:szCs w:val="32"/>
          <w:highlight w:val="none"/>
          <w:u w:val="single"/>
        </w:rPr>
        <w:t xml:space="preserve">   </w:t>
      </w:r>
    </w:p>
    <w:p>
      <w:pPr>
        <w:ind w:firstLine="851" w:firstLineChars="265"/>
        <w:rPr>
          <w:rFonts w:ascii="宋体" w:hAnsi="宋体" w:cs="宋体"/>
          <w:b/>
          <w:bCs/>
          <w:color w:val="auto"/>
          <w:sz w:val="32"/>
          <w:szCs w:val="32"/>
          <w:highlight w:val="none"/>
        </w:rPr>
      </w:pPr>
      <w:r>
        <w:rPr>
          <w:rFonts w:hint="eastAsia" w:ascii="宋体" w:hAnsi="宋体" w:cs="宋体"/>
          <w:b/>
          <w:bCs/>
          <w:color w:val="auto"/>
          <w:sz w:val="32"/>
          <w:szCs w:val="32"/>
          <w:highlight w:val="none"/>
        </w:rPr>
        <w:t xml:space="preserve"> </w:t>
      </w:r>
    </w:p>
    <w:p>
      <w:pPr>
        <w:ind w:firstLine="851" w:firstLineChars="265"/>
        <w:rPr>
          <w:rFonts w:ascii="宋体" w:hAnsi="宋体" w:cs="宋体"/>
          <w:b/>
          <w:bCs/>
          <w:color w:val="auto"/>
          <w:sz w:val="32"/>
          <w:szCs w:val="32"/>
          <w:highlight w:val="none"/>
          <w:u w:val="single"/>
        </w:rPr>
      </w:pPr>
      <w:r>
        <w:rPr>
          <w:rFonts w:hint="eastAsia" w:ascii="宋体" w:hAnsi="宋体" w:cs="宋体"/>
          <w:b/>
          <w:bCs/>
          <w:color w:val="auto"/>
          <w:sz w:val="32"/>
          <w:szCs w:val="32"/>
          <w:highlight w:val="none"/>
        </w:rPr>
        <w:t>供 应 商（乙方）：</w:t>
      </w:r>
      <w:r>
        <w:rPr>
          <w:rFonts w:hint="eastAsia" w:ascii="宋体" w:hAnsi="宋体" w:cs="宋体"/>
          <w:b/>
          <w:bCs/>
          <w:color w:val="auto"/>
          <w:sz w:val="32"/>
          <w:szCs w:val="32"/>
          <w:highlight w:val="none"/>
          <w:u w:val="single"/>
        </w:rPr>
        <w:t xml:space="preserve">                            </w:t>
      </w:r>
    </w:p>
    <w:p>
      <w:pPr>
        <w:ind w:firstLine="556" w:firstLineChars="265"/>
        <w:jc w:val="center"/>
        <w:rPr>
          <w:rFonts w:ascii="宋体" w:hAnsi="宋体" w:cs="宋体"/>
          <w:color w:val="auto"/>
          <w:szCs w:val="21"/>
          <w:highlight w:val="none"/>
        </w:rPr>
      </w:pPr>
      <w:r>
        <w:rPr>
          <w:rFonts w:hint="eastAsia" w:ascii="宋体" w:hAnsi="宋体" w:cs="宋体"/>
          <w:color w:val="auto"/>
          <w:highlight w:val="none"/>
        </w:rPr>
        <w:t xml:space="preserve"> </w:t>
      </w:r>
    </w:p>
    <w:p>
      <w:pPr>
        <w:ind w:firstLine="556" w:firstLineChars="265"/>
        <w:jc w:val="center"/>
        <w:rPr>
          <w:rFonts w:ascii="宋体" w:hAnsi="宋体" w:cs="宋体"/>
          <w:color w:val="auto"/>
          <w:highlight w:val="none"/>
        </w:rPr>
      </w:pPr>
      <w:r>
        <w:rPr>
          <w:rFonts w:hint="eastAsia" w:ascii="宋体" w:hAnsi="宋体" w:cs="宋体"/>
          <w:color w:val="auto"/>
          <w:highlight w:val="none"/>
        </w:rPr>
        <w:t xml:space="preserve"> </w:t>
      </w:r>
    </w:p>
    <w:p>
      <w:pPr>
        <w:ind w:firstLine="556" w:firstLineChars="265"/>
        <w:jc w:val="center"/>
        <w:rPr>
          <w:rFonts w:ascii="宋体" w:hAnsi="宋体" w:cs="宋体"/>
          <w:color w:val="auto"/>
          <w:highlight w:val="none"/>
        </w:rPr>
      </w:pPr>
      <w:r>
        <w:rPr>
          <w:rFonts w:hint="eastAsia" w:ascii="宋体" w:hAnsi="宋体" w:cs="宋体"/>
          <w:color w:val="auto"/>
          <w:highlight w:val="none"/>
        </w:rPr>
        <w:t xml:space="preserve"> </w:t>
      </w:r>
    </w:p>
    <w:p>
      <w:pPr>
        <w:ind w:firstLine="742" w:firstLineChars="265"/>
        <w:jc w:val="center"/>
        <w:rPr>
          <w:rFonts w:ascii="宋体" w:hAnsi="宋体" w:cs="宋体"/>
          <w:color w:val="auto"/>
          <w:sz w:val="28"/>
          <w:szCs w:val="28"/>
          <w:highlight w:val="none"/>
        </w:rPr>
      </w:pPr>
      <w:r>
        <w:rPr>
          <w:rFonts w:hint="eastAsia" w:ascii="宋体" w:hAnsi="宋体" w:cs="宋体"/>
          <w:color w:val="auto"/>
          <w:sz w:val="28"/>
          <w:szCs w:val="28"/>
          <w:highlight w:val="none"/>
        </w:rPr>
        <w:t xml:space="preserve"> </w:t>
      </w:r>
    </w:p>
    <w:p>
      <w:pPr>
        <w:ind w:firstLine="851" w:firstLineChars="265"/>
        <w:rPr>
          <w:rFonts w:ascii="宋体" w:hAnsi="宋体" w:cs="宋体"/>
          <w:b/>
          <w:bCs/>
          <w:color w:val="auto"/>
          <w:sz w:val="32"/>
          <w:szCs w:val="32"/>
          <w:highlight w:val="none"/>
          <w:u w:val="single"/>
        </w:rPr>
      </w:pPr>
      <w:r>
        <w:rPr>
          <w:rFonts w:hint="eastAsia" w:ascii="宋体" w:hAnsi="宋体" w:cs="宋体"/>
          <w:b/>
          <w:bCs/>
          <w:color w:val="auto"/>
          <w:sz w:val="32"/>
          <w:szCs w:val="32"/>
          <w:highlight w:val="none"/>
        </w:rPr>
        <w:t>签订合同地点：</w:t>
      </w:r>
      <w:r>
        <w:rPr>
          <w:rFonts w:hint="eastAsia" w:ascii="宋体" w:hAnsi="宋体" w:cs="宋体"/>
          <w:b/>
          <w:bCs/>
          <w:color w:val="auto"/>
          <w:sz w:val="32"/>
          <w:szCs w:val="32"/>
          <w:highlight w:val="none"/>
          <w:u w:val="single"/>
        </w:rPr>
        <w:t xml:space="preserve">                                </w:t>
      </w:r>
    </w:p>
    <w:p>
      <w:pPr>
        <w:ind w:firstLine="851" w:firstLineChars="265"/>
        <w:rPr>
          <w:rFonts w:ascii="宋体" w:hAnsi="宋体" w:cs="宋体"/>
          <w:b/>
          <w:bCs/>
          <w:color w:val="auto"/>
          <w:sz w:val="32"/>
          <w:szCs w:val="32"/>
          <w:highlight w:val="none"/>
        </w:rPr>
      </w:pPr>
    </w:p>
    <w:p>
      <w:pPr>
        <w:ind w:firstLine="851" w:firstLineChars="265"/>
        <w:rPr>
          <w:rFonts w:ascii="宋体" w:hAnsi="宋体" w:cs="宋体"/>
          <w:b/>
          <w:bCs/>
          <w:color w:val="auto"/>
          <w:sz w:val="32"/>
          <w:szCs w:val="32"/>
          <w:highlight w:val="none"/>
          <w:u w:val="single"/>
        </w:rPr>
      </w:pPr>
      <w:r>
        <w:rPr>
          <w:rFonts w:hint="eastAsia" w:ascii="宋体" w:hAnsi="宋体" w:cs="宋体"/>
          <w:b/>
          <w:bCs/>
          <w:color w:val="auto"/>
          <w:sz w:val="32"/>
          <w:szCs w:val="32"/>
          <w:highlight w:val="none"/>
        </w:rPr>
        <w:t>签订合同时间：</w:t>
      </w:r>
      <w:r>
        <w:rPr>
          <w:rFonts w:hint="eastAsia" w:ascii="宋体" w:hAnsi="宋体" w:cs="宋体"/>
          <w:b/>
          <w:bCs/>
          <w:color w:val="auto"/>
          <w:sz w:val="32"/>
          <w:szCs w:val="32"/>
          <w:highlight w:val="none"/>
          <w:u w:val="single"/>
        </w:rPr>
        <w:t xml:space="preserve">                                </w:t>
      </w:r>
    </w:p>
    <w:p>
      <w:pPr>
        <w:jc w:val="center"/>
        <w:rPr>
          <w:rFonts w:ascii="宋体" w:hAnsi="宋体" w:cs="宋体"/>
          <w:color w:val="auto"/>
          <w:szCs w:val="21"/>
          <w:highlight w:val="none"/>
        </w:rPr>
      </w:pPr>
      <w:r>
        <w:rPr>
          <w:rFonts w:hint="eastAsia" w:ascii="宋体" w:hAnsi="宋体" w:cs="宋体"/>
          <w:color w:val="auto"/>
          <w:highlight w:val="none"/>
        </w:rPr>
        <w:t xml:space="preserve"> </w:t>
      </w:r>
    </w:p>
    <w:p>
      <w:pPr>
        <w:jc w:val="center"/>
        <w:rPr>
          <w:rFonts w:ascii="宋体" w:hAnsi="宋体" w:cs="宋体"/>
          <w:color w:val="auto"/>
          <w:highlight w:val="none"/>
        </w:rPr>
      </w:pPr>
      <w:r>
        <w:rPr>
          <w:rFonts w:hint="eastAsia" w:ascii="宋体" w:hAnsi="宋体" w:cs="宋体"/>
          <w:color w:val="auto"/>
          <w:highlight w:val="none"/>
        </w:rPr>
        <w:t xml:space="preserve"> </w:t>
      </w:r>
    </w:p>
    <w:p>
      <w:pPr>
        <w:jc w:val="center"/>
        <w:rPr>
          <w:rFonts w:ascii="宋体" w:hAnsi="宋体" w:cs="宋体"/>
          <w:color w:val="auto"/>
          <w:highlight w:val="none"/>
        </w:rPr>
      </w:pPr>
      <w:r>
        <w:rPr>
          <w:rFonts w:hint="eastAsia" w:ascii="宋体" w:hAnsi="宋体" w:cs="宋体"/>
          <w:color w:val="auto"/>
          <w:highlight w:val="none"/>
        </w:rPr>
        <w:t xml:space="preserve"> </w:t>
      </w:r>
    </w:p>
    <w:p>
      <w:pPr>
        <w:jc w:val="center"/>
        <w:rPr>
          <w:rFonts w:ascii="宋体" w:hAnsi="宋体" w:cs="宋体"/>
          <w:color w:val="auto"/>
          <w:highlight w:val="none"/>
        </w:rPr>
      </w:pPr>
      <w:r>
        <w:rPr>
          <w:rFonts w:hint="eastAsia" w:ascii="宋体" w:hAnsi="宋体" w:cs="宋体"/>
          <w:color w:val="auto"/>
          <w:highlight w:val="none"/>
        </w:rPr>
        <w:t xml:space="preserve"> </w:t>
      </w:r>
    </w:p>
    <w:p>
      <w:pPr>
        <w:jc w:val="center"/>
        <w:rPr>
          <w:rFonts w:ascii="宋体" w:hAnsi="宋体" w:cs="宋体"/>
          <w:color w:val="auto"/>
          <w:highlight w:val="none"/>
        </w:rPr>
      </w:pPr>
      <w:r>
        <w:rPr>
          <w:rFonts w:hint="eastAsia" w:ascii="宋体" w:hAnsi="宋体" w:cs="宋体"/>
          <w:color w:val="auto"/>
          <w:highlight w:val="none"/>
        </w:rPr>
        <w:t xml:space="preserve"> </w:t>
      </w:r>
    </w:p>
    <w:p>
      <w:pPr>
        <w:jc w:val="center"/>
        <w:rPr>
          <w:rFonts w:ascii="宋体" w:hAnsi="宋体" w:cs="宋体"/>
          <w:color w:val="auto"/>
          <w:highlight w:val="none"/>
        </w:rPr>
      </w:pPr>
      <w:r>
        <w:rPr>
          <w:rFonts w:hint="eastAsia" w:ascii="宋体" w:hAnsi="宋体" w:cs="宋体"/>
          <w:color w:val="auto"/>
          <w:highlight w:val="none"/>
        </w:rPr>
        <w:br w:type="page"/>
      </w:r>
    </w:p>
    <w:p>
      <w:pPr>
        <w:spacing w:line="300" w:lineRule="auto"/>
        <w:jc w:val="center"/>
        <w:rPr>
          <w:rFonts w:ascii="宋体" w:hAnsi="宋体" w:cs="宋体"/>
          <w:color w:val="auto"/>
          <w:highlight w:val="none"/>
        </w:rPr>
      </w:pPr>
      <w:r>
        <w:rPr>
          <w:rFonts w:hint="eastAsia" w:ascii="宋体" w:hAnsi="宋体" w:cs="宋体"/>
          <w:color w:val="auto"/>
          <w:highlight w:val="none"/>
        </w:rPr>
        <w:t xml:space="preserve"> </w:t>
      </w:r>
    </w:p>
    <w:p>
      <w:pPr>
        <w:snapToGrid w:val="0"/>
        <w:spacing w:line="36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广西壮族自治区政府采购合同</w:t>
      </w:r>
    </w:p>
    <w:p>
      <w:pPr>
        <w:snapToGrid w:val="0"/>
        <w:spacing w:line="360" w:lineRule="exact"/>
        <w:jc w:val="center"/>
        <w:rPr>
          <w:rFonts w:ascii="宋体" w:hAnsi="宋体" w:cs="宋体"/>
          <w:color w:val="auto"/>
          <w:szCs w:val="21"/>
          <w:highlight w:val="none"/>
        </w:rPr>
      </w:pPr>
      <w:r>
        <w:rPr>
          <w:rFonts w:hint="eastAsia" w:ascii="宋体" w:hAnsi="宋体" w:cs="宋体"/>
          <w:color w:val="auto"/>
          <w:highlight w:val="none"/>
        </w:rPr>
        <w:t xml:space="preserve"> </w:t>
      </w:r>
    </w:p>
    <w:p>
      <w:pPr>
        <w:pStyle w:val="19"/>
        <w:spacing w:after="0" w:line="360" w:lineRule="auto"/>
        <w:ind w:firstLine="444" w:firstLineChars="200"/>
        <w:rPr>
          <w:rFonts w:ascii="宋体" w:hAnsi="宋体" w:cs="宋体"/>
          <w:color w:val="auto"/>
          <w:szCs w:val="21"/>
          <w:highlight w:val="none"/>
        </w:rPr>
      </w:pPr>
      <w:r>
        <w:rPr>
          <w:rFonts w:hint="eastAsia" w:ascii="宋体" w:hAnsi="宋体" w:cs="宋体"/>
          <w:color w:val="auto"/>
          <w:spacing w:val="6"/>
          <w:szCs w:val="21"/>
          <w:highlight w:val="none"/>
        </w:rPr>
        <w:t>采购计划号：</w:t>
      </w:r>
      <w:r>
        <w:rPr>
          <w:rFonts w:hint="eastAsia" w:ascii="宋体" w:hAnsi="宋体" w:cs="宋体"/>
          <w:color w:val="auto"/>
          <w:spacing w:val="6"/>
          <w:szCs w:val="21"/>
          <w:highlight w:val="none"/>
          <w:u w:val="single"/>
        </w:rPr>
        <w:t xml:space="preserve">                     </w:t>
      </w:r>
      <w:r>
        <w:rPr>
          <w:rFonts w:hint="eastAsia" w:ascii="宋体" w:hAnsi="宋体" w:cs="宋体"/>
          <w:color w:val="auto"/>
          <w:spacing w:val="5"/>
          <w:szCs w:val="21"/>
          <w:highlight w:val="none"/>
          <w:u w:val="single"/>
        </w:rPr>
        <w:t xml:space="preserve">    </w:t>
      </w:r>
      <w:r>
        <w:rPr>
          <w:rFonts w:hint="eastAsia" w:ascii="宋体" w:hAnsi="宋体" w:cs="宋体"/>
          <w:color w:val="auto"/>
          <w:spacing w:val="5"/>
          <w:szCs w:val="21"/>
          <w:highlight w:val="none"/>
        </w:rPr>
        <w:t xml:space="preserve">   合同编号：</w:t>
      </w:r>
      <w:r>
        <w:rPr>
          <w:rFonts w:hint="eastAsia" w:ascii="宋体" w:hAnsi="宋体" w:cs="宋体"/>
          <w:color w:val="auto"/>
          <w:spacing w:val="5"/>
          <w:szCs w:val="21"/>
          <w:highlight w:val="none"/>
          <w:u w:val="single"/>
        </w:rPr>
        <w:t xml:space="preserve">                          </w:t>
      </w:r>
    </w:p>
    <w:p>
      <w:pPr>
        <w:pStyle w:val="19"/>
        <w:spacing w:after="0" w:line="360" w:lineRule="auto"/>
        <w:ind w:firstLine="452" w:firstLineChars="200"/>
        <w:rPr>
          <w:rFonts w:ascii="宋体" w:hAnsi="宋体" w:cs="宋体"/>
          <w:color w:val="auto"/>
          <w:szCs w:val="21"/>
          <w:highlight w:val="none"/>
        </w:rPr>
      </w:pPr>
      <w:r>
        <w:rPr>
          <w:rFonts w:hint="eastAsia" w:ascii="宋体" w:hAnsi="宋体" w:cs="宋体"/>
          <w:color w:val="auto"/>
          <w:spacing w:val="8"/>
          <w:szCs w:val="21"/>
          <w:highlight w:val="none"/>
        </w:rPr>
        <w:t>采购人（甲方</w:t>
      </w:r>
      <w:r>
        <w:rPr>
          <w:rFonts w:hint="eastAsia" w:ascii="宋体" w:hAnsi="宋体" w:cs="宋体"/>
          <w:color w:val="auto"/>
          <w:spacing w:val="11"/>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pacing w:val="10"/>
          <w:szCs w:val="21"/>
          <w:highlight w:val="none"/>
        </w:rPr>
        <w:t xml:space="preserve">   </w:t>
      </w:r>
      <w:r>
        <w:rPr>
          <w:rFonts w:hint="eastAsia" w:ascii="宋体" w:hAnsi="宋体" w:cs="宋体"/>
          <w:color w:val="auto"/>
          <w:spacing w:val="8"/>
          <w:szCs w:val="21"/>
          <w:highlight w:val="none"/>
        </w:rPr>
        <w:t>供应商（乙方</w:t>
      </w:r>
      <w:r>
        <w:rPr>
          <w:rFonts w:hint="eastAsia" w:ascii="宋体" w:hAnsi="宋体" w:cs="宋体"/>
          <w:color w:val="auto"/>
          <w:spacing w:val="11"/>
          <w:szCs w:val="21"/>
          <w:highlight w:val="none"/>
        </w:rPr>
        <w:t>）：</w:t>
      </w:r>
      <w:r>
        <w:rPr>
          <w:rFonts w:hint="eastAsia" w:ascii="宋体" w:hAnsi="宋体" w:cs="宋体"/>
          <w:color w:val="auto"/>
          <w:szCs w:val="21"/>
          <w:highlight w:val="none"/>
          <w:u w:val="single"/>
        </w:rPr>
        <w:t xml:space="preserve">                       </w:t>
      </w:r>
    </w:p>
    <w:p>
      <w:pPr>
        <w:pStyle w:val="19"/>
        <w:spacing w:after="0" w:line="360" w:lineRule="auto"/>
        <w:ind w:firstLine="436" w:firstLineChars="200"/>
        <w:rPr>
          <w:rFonts w:ascii="宋体" w:hAnsi="宋体" w:cs="宋体"/>
          <w:color w:val="auto"/>
          <w:szCs w:val="21"/>
          <w:highlight w:val="none"/>
        </w:rPr>
      </w:pPr>
      <w:r>
        <w:rPr>
          <w:rFonts w:hint="eastAsia" w:ascii="宋体" w:hAnsi="宋体" w:cs="宋体"/>
          <w:color w:val="auto"/>
          <w:spacing w:val="4"/>
          <w:szCs w:val="21"/>
          <w:highlight w:val="none"/>
        </w:rPr>
        <w:t>项目名称：</w:t>
      </w:r>
      <w:r>
        <w:rPr>
          <w:rFonts w:hint="eastAsia" w:ascii="宋体" w:hAnsi="宋体" w:cs="宋体"/>
          <w:color w:val="auto"/>
          <w:spacing w:val="4"/>
          <w:szCs w:val="21"/>
          <w:highlight w:val="none"/>
          <w:u w:val="single"/>
        </w:rPr>
        <w:t xml:space="preserve">                           </w:t>
      </w:r>
      <w:r>
        <w:rPr>
          <w:rFonts w:hint="eastAsia" w:ascii="宋体" w:hAnsi="宋体" w:cs="宋体"/>
          <w:color w:val="auto"/>
          <w:spacing w:val="4"/>
          <w:szCs w:val="21"/>
          <w:highlight w:val="none"/>
        </w:rPr>
        <w:t xml:space="preserve">   项目编号：</w:t>
      </w:r>
      <w:r>
        <w:rPr>
          <w:rFonts w:hint="eastAsia" w:ascii="宋体" w:hAnsi="宋体" w:cs="宋体"/>
          <w:color w:val="auto"/>
          <w:spacing w:val="4"/>
          <w:szCs w:val="21"/>
          <w:highlight w:val="none"/>
          <w:u w:val="single"/>
        </w:rPr>
        <w:t xml:space="preserve">                            </w:t>
      </w:r>
    </w:p>
    <w:p>
      <w:pPr>
        <w:pStyle w:val="19"/>
        <w:spacing w:after="0" w:line="360" w:lineRule="auto"/>
        <w:ind w:firstLine="436" w:firstLineChars="200"/>
        <w:rPr>
          <w:rFonts w:ascii="宋体" w:hAnsi="宋体" w:cs="宋体"/>
          <w:color w:val="auto"/>
          <w:szCs w:val="21"/>
          <w:highlight w:val="none"/>
        </w:rPr>
      </w:pPr>
      <w:r>
        <w:rPr>
          <w:rFonts w:hint="eastAsia" w:ascii="宋体" w:hAnsi="宋体" w:cs="宋体"/>
          <w:color w:val="auto"/>
          <w:spacing w:val="4"/>
          <w:szCs w:val="21"/>
          <w:highlight w:val="none"/>
        </w:rPr>
        <w:t>签订地点：</w:t>
      </w:r>
      <w:r>
        <w:rPr>
          <w:rFonts w:hint="eastAsia" w:ascii="宋体" w:hAnsi="宋体" w:cs="宋体"/>
          <w:color w:val="auto"/>
          <w:spacing w:val="4"/>
          <w:szCs w:val="21"/>
          <w:highlight w:val="none"/>
          <w:u w:val="single"/>
        </w:rPr>
        <w:t xml:space="preserve">                           </w:t>
      </w:r>
      <w:r>
        <w:rPr>
          <w:rFonts w:hint="eastAsia" w:ascii="宋体" w:hAnsi="宋体" w:cs="宋体"/>
          <w:color w:val="auto"/>
          <w:spacing w:val="4"/>
          <w:szCs w:val="21"/>
          <w:highlight w:val="none"/>
        </w:rPr>
        <w:t xml:space="preserve">   签订时间：</w:t>
      </w:r>
      <w:r>
        <w:rPr>
          <w:rFonts w:hint="eastAsia" w:ascii="宋体" w:hAnsi="宋体" w:cs="宋体"/>
          <w:color w:val="auto"/>
          <w:spacing w:val="4"/>
          <w:szCs w:val="21"/>
          <w:highlight w:val="none"/>
          <w:u w:val="single"/>
        </w:rPr>
        <w:t xml:space="preserve">                            </w:t>
      </w:r>
    </w:p>
    <w:p>
      <w:pPr>
        <w:spacing w:line="360" w:lineRule="auto"/>
        <w:ind w:firstLine="420" w:firstLineChars="200"/>
        <w:rPr>
          <w:rFonts w:ascii="宋体" w:hAnsi="宋体" w:cs="宋体"/>
          <w:color w:val="auto"/>
          <w:szCs w:val="21"/>
          <w:highlight w:val="none"/>
        </w:rPr>
      </w:pPr>
    </w:p>
    <w:p>
      <w:pPr>
        <w:pStyle w:val="19"/>
        <w:spacing w:after="0" w:line="360" w:lineRule="auto"/>
        <w:ind w:firstLine="452" w:firstLineChars="200"/>
        <w:jc w:val="right"/>
        <w:rPr>
          <w:rFonts w:ascii="宋体" w:hAnsi="宋体" w:cs="宋体"/>
          <w:color w:val="auto"/>
          <w:szCs w:val="21"/>
          <w:highlight w:val="none"/>
        </w:rPr>
      </w:pPr>
      <w:r>
        <w:rPr>
          <w:rFonts w:hint="eastAsia" w:ascii="宋体" w:hAnsi="宋体" w:cs="宋体"/>
          <w:color w:val="auto"/>
          <w:spacing w:val="8"/>
          <w:szCs w:val="21"/>
          <w:highlight w:val="none"/>
        </w:rPr>
        <w:t>根据《中华人民共和国民法典》等法律、法规规定，按照采购文件规定条款和成交供应商响</w:t>
      </w:r>
    </w:p>
    <w:p>
      <w:pPr>
        <w:pStyle w:val="19"/>
        <w:spacing w:after="0" w:line="360" w:lineRule="auto"/>
        <w:ind w:firstLine="444" w:firstLineChars="200"/>
        <w:rPr>
          <w:rFonts w:ascii="宋体" w:hAnsi="宋体" w:cs="宋体"/>
          <w:color w:val="auto"/>
          <w:szCs w:val="21"/>
          <w:highlight w:val="none"/>
        </w:rPr>
      </w:pPr>
      <w:r>
        <w:rPr>
          <w:rFonts w:hint="eastAsia" w:ascii="宋体" w:hAnsi="宋体" w:cs="宋体"/>
          <w:color w:val="auto"/>
          <w:spacing w:val="6"/>
          <w:szCs w:val="21"/>
          <w:highlight w:val="none"/>
        </w:rPr>
        <w:t>应文件及其承诺，</w:t>
      </w:r>
      <w:r>
        <w:rPr>
          <w:rFonts w:hint="eastAsia" w:ascii="宋体" w:hAnsi="宋体" w:cs="宋体"/>
          <w:color w:val="auto"/>
          <w:spacing w:val="-49"/>
          <w:szCs w:val="21"/>
          <w:highlight w:val="none"/>
        </w:rPr>
        <w:t xml:space="preserve"> </w:t>
      </w:r>
      <w:r>
        <w:rPr>
          <w:rFonts w:hint="eastAsia" w:ascii="宋体" w:hAnsi="宋体" w:cs="宋体"/>
          <w:color w:val="auto"/>
          <w:spacing w:val="6"/>
          <w:szCs w:val="21"/>
          <w:highlight w:val="none"/>
        </w:rPr>
        <w:t>甲乙双方签订本合同。</w:t>
      </w:r>
    </w:p>
    <w:p>
      <w:pPr>
        <w:pStyle w:val="19"/>
        <w:spacing w:after="0" w:line="360" w:lineRule="auto"/>
        <w:ind w:firstLine="446" w:firstLineChars="200"/>
        <w:outlineLvl w:val="1"/>
        <w:rPr>
          <w:rFonts w:ascii="宋体" w:hAnsi="宋体" w:cs="宋体"/>
          <w:b/>
          <w:bCs/>
          <w:color w:val="auto"/>
          <w:spacing w:val="6"/>
          <w:szCs w:val="21"/>
          <w:highlight w:val="none"/>
        </w:rPr>
      </w:pPr>
      <w:r>
        <w:rPr>
          <w:rFonts w:hint="eastAsia" w:ascii="宋体" w:hAnsi="宋体" w:cs="宋体"/>
          <w:b/>
          <w:bCs/>
          <w:color w:val="auto"/>
          <w:spacing w:val="6"/>
          <w:szCs w:val="21"/>
          <w:highlight w:val="none"/>
        </w:rPr>
        <w:t xml:space="preserve">第一条  </w:t>
      </w:r>
      <w:r>
        <w:rPr>
          <w:rFonts w:hint="eastAsia" w:ascii="宋体" w:hAnsi="宋体" w:cs="宋体"/>
          <w:color w:val="auto"/>
          <w:spacing w:val="6"/>
          <w:szCs w:val="21"/>
          <w:highlight w:val="none"/>
        </w:rPr>
        <w:t>合同标的</w:t>
      </w:r>
    </w:p>
    <w:p>
      <w:pPr>
        <w:pStyle w:val="19"/>
        <w:spacing w:after="0" w:line="360" w:lineRule="auto"/>
        <w:ind w:firstLine="432" w:firstLineChars="200"/>
        <w:rPr>
          <w:rFonts w:ascii="宋体" w:hAnsi="宋体" w:cs="宋体"/>
          <w:color w:val="auto"/>
          <w:szCs w:val="21"/>
          <w:highlight w:val="none"/>
        </w:rPr>
      </w:pPr>
      <w:r>
        <w:rPr>
          <w:rFonts w:hint="eastAsia" w:ascii="宋体" w:hAnsi="宋体" w:cs="宋体"/>
          <w:color w:val="auto"/>
          <w:spacing w:val="3"/>
          <w:szCs w:val="21"/>
          <w:highlight w:val="none"/>
        </w:rPr>
        <w:t>1、服务名称：</w:t>
      </w:r>
      <w:r>
        <w:rPr>
          <w:rFonts w:hint="eastAsia" w:ascii="宋体" w:hAnsi="宋体" w:cs="宋体"/>
          <w:color w:val="auto"/>
          <w:spacing w:val="1"/>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pacing w:val="3"/>
          <w:szCs w:val="21"/>
          <w:highlight w:val="none"/>
        </w:rPr>
        <w:t>。</w:t>
      </w:r>
    </w:p>
    <w:p>
      <w:pPr>
        <w:pStyle w:val="19"/>
        <w:spacing w:after="0" w:line="360" w:lineRule="auto"/>
        <w:ind w:firstLine="440" w:firstLineChars="200"/>
        <w:rPr>
          <w:rFonts w:ascii="宋体" w:hAnsi="宋体" w:cs="宋体"/>
          <w:color w:val="auto"/>
          <w:szCs w:val="21"/>
          <w:highlight w:val="none"/>
        </w:rPr>
      </w:pPr>
      <w:r>
        <w:rPr>
          <w:rFonts w:hint="eastAsia" w:ascii="宋体" w:hAnsi="宋体" w:cs="宋体"/>
          <w:color w:val="auto"/>
          <w:spacing w:val="5"/>
          <w:szCs w:val="21"/>
          <w:highlight w:val="none"/>
        </w:rPr>
        <w:t>2、服务数量：</w:t>
      </w:r>
      <w:r>
        <w:rPr>
          <w:rFonts w:hint="eastAsia" w:ascii="宋体" w:hAnsi="宋体" w:cs="宋体"/>
          <w:color w:val="auto"/>
          <w:spacing w:val="5"/>
          <w:szCs w:val="21"/>
          <w:highlight w:val="none"/>
          <w:u w:val="single"/>
        </w:rPr>
        <w:t xml:space="preserve">                      </w:t>
      </w:r>
      <w:r>
        <w:rPr>
          <w:rFonts w:hint="eastAsia" w:ascii="宋体" w:hAnsi="宋体" w:cs="宋体"/>
          <w:color w:val="auto"/>
          <w:spacing w:val="5"/>
          <w:szCs w:val="21"/>
          <w:highlight w:val="none"/>
        </w:rPr>
        <w:t>。</w:t>
      </w:r>
    </w:p>
    <w:p>
      <w:pPr>
        <w:pStyle w:val="19"/>
        <w:spacing w:after="0" w:line="360" w:lineRule="auto"/>
        <w:ind w:firstLine="436" w:firstLineChars="200"/>
        <w:rPr>
          <w:rFonts w:ascii="宋体" w:hAnsi="宋体" w:cs="宋体"/>
          <w:color w:val="auto"/>
          <w:szCs w:val="21"/>
          <w:highlight w:val="none"/>
        </w:rPr>
      </w:pPr>
      <w:r>
        <w:rPr>
          <w:rFonts w:hint="eastAsia" w:ascii="宋体" w:hAnsi="宋体" w:cs="宋体"/>
          <w:color w:val="auto"/>
          <w:spacing w:val="4"/>
          <w:szCs w:val="21"/>
          <w:highlight w:val="none"/>
        </w:rPr>
        <w:t>3、服务内容：</w:t>
      </w:r>
    </w:p>
    <w:tbl>
      <w:tblPr>
        <w:tblStyle w:val="216"/>
        <w:tblW w:w="87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3341"/>
        <w:gridCol w:w="708"/>
        <w:gridCol w:w="850"/>
        <w:gridCol w:w="1558"/>
        <w:gridCol w:w="15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22" w:type="dxa"/>
            <w:vAlign w:val="center"/>
          </w:tcPr>
          <w:p>
            <w:pPr>
              <w:pStyle w:val="215"/>
              <w:spacing w:line="360" w:lineRule="auto"/>
              <w:jc w:val="center"/>
              <w:rPr>
                <w:color w:val="auto"/>
                <w:sz w:val="21"/>
                <w:szCs w:val="21"/>
                <w:highlight w:val="none"/>
              </w:rPr>
            </w:pPr>
            <w:r>
              <w:rPr>
                <w:rFonts w:hint="eastAsia"/>
                <w:color w:val="auto"/>
                <w:spacing w:val="4"/>
                <w:sz w:val="21"/>
                <w:szCs w:val="21"/>
                <w:highlight w:val="none"/>
              </w:rPr>
              <w:t>序号</w:t>
            </w:r>
          </w:p>
        </w:tc>
        <w:tc>
          <w:tcPr>
            <w:tcW w:w="3341" w:type="dxa"/>
            <w:vAlign w:val="center"/>
          </w:tcPr>
          <w:p>
            <w:pPr>
              <w:pStyle w:val="215"/>
              <w:spacing w:line="360" w:lineRule="auto"/>
              <w:jc w:val="center"/>
              <w:rPr>
                <w:color w:val="auto"/>
                <w:sz w:val="21"/>
                <w:szCs w:val="21"/>
                <w:highlight w:val="none"/>
              </w:rPr>
            </w:pPr>
            <w:r>
              <w:rPr>
                <w:rFonts w:hint="eastAsia"/>
                <w:color w:val="auto"/>
                <w:spacing w:val="6"/>
                <w:sz w:val="21"/>
                <w:szCs w:val="21"/>
                <w:highlight w:val="none"/>
              </w:rPr>
              <w:t>服务内容</w:t>
            </w:r>
          </w:p>
        </w:tc>
        <w:tc>
          <w:tcPr>
            <w:tcW w:w="708" w:type="dxa"/>
            <w:vAlign w:val="center"/>
          </w:tcPr>
          <w:p>
            <w:pPr>
              <w:pStyle w:val="215"/>
              <w:spacing w:line="360" w:lineRule="auto"/>
              <w:jc w:val="center"/>
              <w:rPr>
                <w:color w:val="auto"/>
                <w:sz w:val="21"/>
                <w:szCs w:val="21"/>
                <w:highlight w:val="none"/>
              </w:rPr>
            </w:pPr>
            <w:r>
              <w:rPr>
                <w:rFonts w:hint="eastAsia"/>
                <w:color w:val="auto"/>
                <w:spacing w:val="3"/>
                <w:sz w:val="21"/>
                <w:szCs w:val="21"/>
                <w:highlight w:val="none"/>
              </w:rPr>
              <w:t>数量</w:t>
            </w:r>
          </w:p>
        </w:tc>
        <w:tc>
          <w:tcPr>
            <w:tcW w:w="850" w:type="dxa"/>
            <w:vAlign w:val="center"/>
          </w:tcPr>
          <w:p>
            <w:pPr>
              <w:pStyle w:val="215"/>
              <w:spacing w:line="360" w:lineRule="auto"/>
              <w:jc w:val="center"/>
              <w:rPr>
                <w:color w:val="auto"/>
                <w:sz w:val="21"/>
                <w:szCs w:val="21"/>
                <w:highlight w:val="none"/>
              </w:rPr>
            </w:pPr>
            <w:r>
              <w:rPr>
                <w:rFonts w:hint="eastAsia"/>
                <w:color w:val="auto"/>
                <w:spacing w:val="3"/>
                <w:sz w:val="21"/>
                <w:szCs w:val="21"/>
                <w:highlight w:val="none"/>
              </w:rPr>
              <w:t>单位</w:t>
            </w:r>
          </w:p>
        </w:tc>
        <w:tc>
          <w:tcPr>
            <w:tcW w:w="1558" w:type="dxa"/>
            <w:vAlign w:val="center"/>
          </w:tcPr>
          <w:p>
            <w:pPr>
              <w:pStyle w:val="215"/>
              <w:spacing w:line="360" w:lineRule="auto"/>
              <w:jc w:val="center"/>
              <w:rPr>
                <w:color w:val="auto"/>
                <w:sz w:val="21"/>
                <w:szCs w:val="21"/>
                <w:highlight w:val="none"/>
              </w:rPr>
            </w:pPr>
            <w:r>
              <w:rPr>
                <w:rFonts w:hint="eastAsia"/>
                <w:color w:val="auto"/>
                <w:spacing w:val="-2"/>
                <w:sz w:val="21"/>
                <w:szCs w:val="21"/>
                <w:highlight w:val="none"/>
              </w:rPr>
              <w:t>单价（元）</w:t>
            </w:r>
          </w:p>
        </w:tc>
        <w:tc>
          <w:tcPr>
            <w:tcW w:w="1590" w:type="dxa"/>
            <w:vAlign w:val="center"/>
          </w:tcPr>
          <w:p>
            <w:pPr>
              <w:pStyle w:val="215"/>
              <w:spacing w:line="360" w:lineRule="auto"/>
              <w:jc w:val="center"/>
              <w:rPr>
                <w:color w:val="auto"/>
                <w:sz w:val="21"/>
                <w:szCs w:val="21"/>
                <w:highlight w:val="none"/>
              </w:rPr>
            </w:pPr>
            <w:r>
              <w:rPr>
                <w:rFonts w:hint="eastAsia"/>
                <w:color w:val="auto"/>
                <w:spacing w:val="4"/>
                <w:sz w:val="21"/>
                <w:szCs w:val="21"/>
                <w:highlight w:val="none"/>
              </w:rPr>
              <w:t>合价（元）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22" w:type="dxa"/>
            <w:vAlign w:val="center"/>
          </w:tcPr>
          <w:p>
            <w:pPr>
              <w:pStyle w:val="215"/>
              <w:spacing w:line="360" w:lineRule="auto"/>
              <w:jc w:val="center"/>
              <w:rPr>
                <w:color w:val="auto"/>
                <w:sz w:val="21"/>
                <w:szCs w:val="21"/>
                <w:highlight w:val="none"/>
              </w:rPr>
            </w:pPr>
            <w:r>
              <w:rPr>
                <w:rFonts w:hint="eastAsia"/>
                <w:color w:val="auto"/>
                <w:sz w:val="21"/>
                <w:szCs w:val="21"/>
                <w:highlight w:val="none"/>
              </w:rPr>
              <w:t>1</w:t>
            </w:r>
          </w:p>
        </w:tc>
        <w:tc>
          <w:tcPr>
            <w:tcW w:w="3341" w:type="dxa"/>
            <w:vAlign w:val="center"/>
          </w:tcPr>
          <w:p>
            <w:pPr>
              <w:spacing w:line="360" w:lineRule="auto"/>
              <w:jc w:val="center"/>
              <w:rPr>
                <w:rFonts w:ascii="宋体" w:hAnsi="宋体" w:cs="宋体"/>
                <w:color w:val="auto"/>
                <w:szCs w:val="21"/>
                <w:highlight w:val="none"/>
              </w:rPr>
            </w:pPr>
          </w:p>
        </w:tc>
        <w:tc>
          <w:tcPr>
            <w:tcW w:w="708" w:type="dxa"/>
            <w:vAlign w:val="center"/>
          </w:tcPr>
          <w:p>
            <w:pPr>
              <w:spacing w:line="360" w:lineRule="auto"/>
              <w:jc w:val="center"/>
              <w:rPr>
                <w:rFonts w:ascii="宋体" w:hAnsi="宋体" w:cs="宋体"/>
                <w:color w:val="auto"/>
                <w:szCs w:val="21"/>
                <w:highlight w:val="none"/>
              </w:rPr>
            </w:pPr>
          </w:p>
        </w:tc>
        <w:tc>
          <w:tcPr>
            <w:tcW w:w="850" w:type="dxa"/>
            <w:vAlign w:val="center"/>
          </w:tcPr>
          <w:p>
            <w:pPr>
              <w:spacing w:line="360" w:lineRule="auto"/>
              <w:jc w:val="center"/>
              <w:rPr>
                <w:rFonts w:ascii="宋体" w:hAnsi="宋体" w:cs="宋体"/>
                <w:color w:val="auto"/>
                <w:szCs w:val="21"/>
                <w:highlight w:val="none"/>
              </w:rPr>
            </w:pPr>
          </w:p>
        </w:tc>
        <w:tc>
          <w:tcPr>
            <w:tcW w:w="1558" w:type="dxa"/>
            <w:vAlign w:val="center"/>
          </w:tcPr>
          <w:p>
            <w:pPr>
              <w:spacing w:line="360" w:lineRule="auto"/>
              <w:jc w:val="center"/>
              <w:rPr>
                <w:rFonts w:ascii="宋体" w:hAnsi="宋体" w:cs="宋体"/>
                <w:color w:val="auto"/>
                <w:szCs w:val="21"/>
                <w:highlight w:val="none"/>
              </w:rPr>
            </w:pPr>
          </w:p>
        </w:tc>
        <w:tc>
          <w:tcPr>
            <w:tcW w:w="1590" w:type="dxa"/>
            <w:vAlign w:val="center"/>
          </w:tcPr>
          <w:p>
            <w:pPr>
              <w:spacing w:line="360" w:lineRule="auto"/>
              <w:jc w:val="center"/>
              <w:rPr>
                <w:rFonts w:ascii="宋体" w:hAnsi="宋体" w:cs="宋体"/>
                <w:color w:val="auto"/>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8769" w:type="dxa"/>
            <w:gridSpan w:val="6"/>
            <w:vAlign w:val="center"/>
          </w:tcPr>
          <w:p>
            <w:pPr>
              <w:pStyle w:val="215"/>
              <w:spacing w:line="360" w:lineRule="auto"/>
              <w:rPr>
                <w:color w:val="auto"/>
                <w:sz w:val="21"/>
                <w:szCs w:val="21"/>
                <w:highlight w:val="none"/>
                <w:lang w:eastAsia="zh-CN"/>
              </w:rPr>
            </w:pPr>
            <w:r>
              <w:rPr>
                <w:rFonts w:hint="eastAsia"/>
                <w:color w:val="auto"/>
                <w:spacing w:val="6"/>
                <w:sz w:val="21"/>
                <w:szCs w:val="21"/>
                <w:highlight w:val="none"/>
                <w:lang w:eastAsia="zh-CN"/>
              </w:rPr>
              <w:t>成交金额（人民币大写</w:t>
            </w:r>
            <w:r>
              <w:rPr>
                <w:rFonts w:hint="eastAsia"/>
                <w:color w:val="auto"/>
                <w:spacing w:val="8"/>
                <w:sz w:val="21"/>
                <w:szCs w:val="21"/>
                <w:highlight w:val="none"/>
                <w:lang w:eastAsia="zh-CN"/>
              </w:rPr>
              <w:t>）：</w:t>
            </w:r>
            <w:r>
              <w:rPr>
                <w:rFonts w:hint="eastAsia"/>
                <w:color w:val="auto"/>
                <w:sz w:val="21"/>
                <w:szCs w:val="21"/>
                <w:highlight w:val="none"/>
                <w:lang w:eastAsia="zh-CN"/>
              </w:rPr>
              <w:t xml:space="preserve">                    </w:t>
            </w:r>
            <w:r>
              <w:rPr>
                <w:rFonts w:hint="eastAsia"/>
                <w:color w:val="auto"/>
                <w:spacing w:val="6"/>
                <w:sz w:val="21"/>
                <w:szCs w:val="21"/>
                <w:highlight w:val="none"/>
                <w:lang w:eastAsia="zh-CN"/>
              </w:rPr>
              <w:t>(¥</w:t>
            </w:r>
            <w:r>
              <w:rPr>
                <w:rFonts w:hint="eastAsia"/>
                <w:color w:val="auto"/>
                <w:spacing w:val="9"/>
                <w:sz w:val="21"/>
                <w:szCs w:val="21"/>
                <w:highlight w:val="none"/>
                <w:lang w:eastAsia="zh-CN"/>
              </w:rPr>
              <w:t xml:space="preserve">           </w:t>
            </w:r>
            <w:r>
              <w:rPr>
                <w:rFonts w:hint="eastAsia"/>
                <w:color w:val="auto"/>
                <w:spacing w:val="6"/>
                <w:sz w:val="21"/>
                <w:szCs w:val="21"/>
                <w:highlight w:val="none"/>
                <w:lang w:eastAsia="zh-CN"/>
              </w:rPr>
              <w:t>)</w:t>
            </w:r>
          </w:p>
        </w:tc>
      </w:tr>
    </w:tbl>
    <w:p>
      <w:pPr>
        <w:pStyle w:val="19"/>
        <w:spacing w:after="0" w:line="360" w:lineRule="auto"/>
        <w:ind w:firstLine="446" w:firstLineChars="200"/>
        <w:outlineLvl w:val="1"/>
        <w:rPr>
          <w:rFonts w:ascii="宋体" w:hAnsi="宋体" w:cs="宋体"/>
          <w:color w:val="auto"/>
          <w:szCs w:val="21"/>
          <w:highlight w:val="none"/>
        </w:rPr>
      </w:pPr>
      <w:r>
        <w:rPr>
          <w:rFonts w:hint="eastAsia" w:ascii="宋体" w:hAnsi="宋体" w:cs="宋体"/>
          <w:b/>
          <w:bCs/>
          <w:color w:val="auto"/>
          <w:spacing w:val="6"/>
          <w:szCs w:val="21"/>
          <w:highlight w:val="none"/>
        </w:rPr>
        <w:t xml:space="preserve">第二条  </w:t>
      </w:r>
      <w:r>
        <w:rPr>
          <w:rFonts w:hint="eastAsia" w:ascii="宋体" w:hAnsi="宋体" w:cs="宋体"/>
          <w:color w:val="auto"/>
          <w:spacing w:val="6"/>
          <w:szCs w:val="21"/>
          <w:highlight w:val="none"/>
        </w:rPr>
        <w:t>合同金额</w:t>
      </w:r>
    </w:p>
    <w:p>
      <w:pPr>
        <w:pStyle w:val="19"/>
        <w:spacing w:after="0" w:line="360" w:lineRule="auto"/>
        <w:ind w:firstLine="444" w:firstLineChars="200"/>
        <w:rPr>
          <w:rFonts w:ascii="宋体" w:hAnsi="宋体" w:cs="宋体"/>
          <w:color w:val="auto"/>
          <w:szCs w:val="21"/>
          <w:highlight w:val="none"/>
        </w:rPr>
      </w:pPr>
      <w:r>
        <w:rPr>
          <w:rFonts w:hint="eastAsia" w:ascii="宋体" w:hAnsi="宋体" w:cs="宋体"/>
          <w:color w:val="auto"/>
          <w:spacing w:val="6"/>
          <w:szCs w:val="21"/>
          <w:highlight w:val="none"/>
        </w:rPr>
        <w:t>本项目合同金额人民币</w:t>
      </w:r>
      <w:r>
        <w:rPr>
          <w:rFonts w:hint="eastAsia" w:ascii="宋体" w:hAnsi="宋体" w:cs="宋体"/>
          <w:color w:val="auto"/>
          <w:spacing w:val="-98"/>
          <w:szCs w:val="21"/>
          <w:highlight w:val="none"/>
        </w:rPr>
        <w:t xml:space="preserve"> </w:t>
      </w:r>
      <w:r>
        <w:rPr>
          <w:rFonts w:hint="eastAsia" w:ascii="宋体" w:hAnsi="宋体" w:cs="宋体"/>
          <w:color w:val="auto"/>
          <w:spacing w:val="6"/>
          <w:szCs w:val="21"/>
          <w:highlight w:val="none"/>
          <w:u w:val="single"/>
        </w:rPr>
        <w:t xml:space="preserve">                         </w:t>
      </w:r>
      <w:r>
        <w:rPr>
          <w:rFonts w:hint="eastAsia" w:ascii="宋体" w:hAnsi="宋体" w:cs="宋体"/>
          <w:color w:val="auto"/>
          <w:spacing w:val="5"/>
          <w:szCs w:val="21"/>
          <w:highlight w:val="none"/>
          <w:u w:val="single"/>
        </w:rPr>
        <w:t xml:space="preserve">               </w:t>
      </w:r>
      <w:r>
        <w:rPr>
          <w:rFonts w:hint="eastAsia" w:ascii="宋体" w:hAnsi="宋体" w:cs="宋体"/>
          <w:color w:val="auto"/>
          <w:spacing w:val="5"/>
          <w:szCs w:val="21"/>
          <w:highlight w:val="none"/>
        </w:rPr>
        <w:t>。</w:t>
      </w:r>
    </w:p>
    <w:p>
      <w:pPr>
        <w:pStyle w:val="19"/>
        <w:spacing w:after="0" w:line="360" w:lineRule="auto"/>
        <w:ind w:firstLine="452" w:firstLineChars="200"/>
        <w:rPr>
          <w:rFonts w:ascii="宋体" w:hAnsi="宋体" w:cs="宋体"/>
          <w:color w:val="auto"/>
          <w:szCs w:val="21"/>
          <w:highlight w:val="none"/>
        </w:rPr>
      </w:pPr>
      <w:r>
        <w:rPr>
          <w:rFonts w:hint="eastAsia" w:ascii="宋体" w:hAnsi="宋体" w:cs="宋体"/>
          <w:color w:val="auto"/>
          <w:spacing w:val="8"/>
          <w:szCs w:val="21"/>
          <w:highlight w:val="none"/>
        </w:rPr>
        <w:t>该合同金额已包括了实施和完成本项目全部服务所需的安装费（包括但不限于各类软件、系统等的安装、集成、试运行等费用）、培训费（包括但不限于场地费、教材等）、人工费、交通费、住宿费、伙食补助费、其他费用（包括但不限于硬件设备采购的费用、运输、装卸、软件部署、调试、培训、技术支持、售后服务、检测等费用）、整体验收各项费用、必要的保险费和税</w:t>
      </w:r>
      <w:r>
        <w:rPr>
          <w:rFonts w:hint="eastAsia" w:ascii="宋体" w:hAnsi="宋体" w:cs="宋体"/>
          <w:color w:val="auto"/>
          <w:spacing w:val="9"/>
          <w:szCs w:val="21"/>
          <w:highlight w:val="none"/>
        </w:rPr>
        <w:t>费等，服务有关一切费用和政策性文件规定及合同包含的风险、责任和各种应有的费用。</w:t>
      </w:r>
    </w:p>
    <w:p>
      <w:pPr>
        <w:pStyle w:val="19"/>
        <w:spacing w:after="0" w:line="360" w:lineRule="auto"/>
        <w:ind w:firstLine="450" w:firstLineChars="200"/>
        <w:outlineLvl w:val="1"/>
        <w:rPr>
          <w:rFonts w:ascii="宋体" w:hAnsi="宋体" w:cs="宋体"/>
          <w:b/>
          <w:bCs/>
          <w:color w:val="auto"/>
          <w:szCs w:val="21"/>
          <w:highlight w:val="none"/>
        </w:rPr>
      </w:pPr>
      <w:r>
        <w:rPr>
          <w:rFonts w:hint="eastAsia" w:ascii="宋体" w:hAnsi="宋体" w:cs="宋体"/>
          <w:b/>
          <w:bCs/>
          <w:color w:val="auto"/>
          <w:spacing w:val="7"/>
          <w:szCs w:val="21"/>
          <w:highlight w:val="none"/>
        </w:rPr>
        <w:t xml:space="preserve">第三条 </w:t>
      </w:r>
      <w:r>
        <w:rPr>
          <w:rFonts w:hint="eastAsia" w:ascii="宋体" w:hAnsi="宋体" w:cs="宋体"/>
          <w:color w:val="auto"/>
          <w:spacing w:val="7"/>
          <w:szCs w:val="21"/>
          <w:highlight w:val="none"/>
        </w:rPr>
        <w:t xml:space="preserve"> 服务期限及地点</w:t>
      </w:r>
    </w:p>
    <w:p>
      <w:pPr>
        <w:pStyle w:val="19"/>
        <w:spacing w:after="0" w:line="360" w:lineRule="auto"/>
        <w:ind w:firstLine="440" w:firstLineChars="200"/>
        <w:rPr>
          <w:rFonts w:ascii="宋体" w:hAnsi="宋体" w:cs="宋体"/>
          <w:color w:val="auto"/>
          <w:szCs w:val="21"/>
          <w:highlight w:val="none"/>
        </w:rPr>
      </w:pPr>
      <w:r>
        <w:rPr>
          <w:rFonts w:hint="eastAsia" w:ascii="宋体" w:hAnsi="宋体" w:cs="宋体"/>
          <w:color w:val="auto"/>
          <w:spacing w:val="5"/>
          <w:szCs w:val="21"/>
          <w:highlight w:val="none"/>
        </w:rPr>
        <w:t>1、合同履行期限</w:t>
      </w:r>
      <w:r>
        <w:rPr>
          <w:rFonts w:hint="eastAsia" w:ascii="宋体" w:hAnsi="宋体" w:cs="宋体"/>
          <w:color w:val="auto"/>
          <w:spacing w:val="8"/>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pacing w:val="8"/>
          <w:szCs w:val="21"/>
          <w:highlight w:val="none"/>
        </w:rPr>
        <w:t>；</w:t>
      </w:r>
    </w:p>
    <w:p>
      <w:pPr>
        <w:pStyle w:val="19"/>
        <w:spacing w:after="0" w:line="360" w:lineRule="auto"/>
        <w:ind w:firstLine="440" w:firstLineChars="200"/>
        <w:rPr>
          <w:rFonts w:ascii="宋体" w:hAnsi="宋体" w:cs="宋体"/>
          <w:color w:val="auto"/>
          <w:szCs w:val="21"/>
          <w:highlight w:val="none"/>
        </w:rPr>
      </w:pPr>
      <w:r>
        <w:rPr>
          <w:rFonts w:hint="eastAsia" w:ascii="宋体" w:hAnsi="宋体" w:cs="宋体"/>
          <w:color w:val="auto"/>
          <w:spacing w:val="5"/>
          <w:szCs w:val="21"/>
          <w:highlight w:val="none"/>
        </w:rPr>
        <w:t>2、服务地点</w:t>
      </w:r>
      <w:r>
        <w:rPr>
          <w:rFonts w:hint="eastAsia" w:ascii="宋体" w:hAnsi="宋体" w:cs="宋体"/>
          <w:color w:val="auto"/>
          <w:spacing w:val="6"/>
          <w:szCs w:val="21"/>
          <w:highlight w:val="none"/>
        </w:rPr>
        <w:t>：</w:t>
      </w:r>
      <w:r>
        <w:rPr>
          <w:rFonts w:hint="eastAsia" w:ascii="宋体" w:hAnsi="宋体" w:cs="宋体"/>
          <w:color w:val="auto"/>
          <w:spacing w:val="2"/>
          <w:szCs w:val="21"/>
          <w:highlight w:val="none"/>
          <w:u w:val="single"/>
        </w:rPr>
        <w:t xml:space="preserve">                                 </w:t>
      </w:r>
      <w:r>
        <w:rPr>
          <w:rFonts w:hint="eastAsia" w:ascii="宋体" w:hAnsi="宋体" w:cs="宋体"/>
          <w:color w:val="auto"/>
          <w:spacing w:val="17"/>
          <w:szCs w:val="21"/>
          <w:highlight w:val="none"/>
        </w:rPr>
        <w:t xml:space="preserve"> </w:t>
      </w:r>
      <w:r>
        <w:rPr>
          <w:rFonts w:hint="eastAsia" w:ascii="宋体" w:hAnsi="宋体" w:cs="宋体"/>
          <w:color w:val="auto"/>
          <w:spacing w:val="6"/>
          <w:szCs w:val="21"/>
          <w:highlight w:val="none"/>
        </w:rPr>
        <w:t>；</w:t>
      </w:r>
    </w:p>
    <w:p>
      <w:pPr>
        <w:pStyle w:val="19"/>
        <w:spacing w:after="0" w:line="360" w:lineRule="auto"/>
        <w:ind w:firstLine="456" w:firstLineChars="200"/>
        <w:rPr>
          <w:rFonts w:ascii="宋体" w:hAnsi="宋体" w:cs="宋体"/>
          <w:color w:val="auto"/>
          <w:szCs w:val="21"/>
          <w:highlight w:val="none"/>
        </w:rPr>
      </w:pPr>
      <w:r>
        <w:rPr>
          <w:rFonts w:hint="eastAsia" w:ascii="宋体" w:hAnsi="宋体" w:cs="宋体"/>
          <w:color w:val="auto"/>
          <w:spacing w:val="9"/>
          <w:szCs w:val="21"/>
          <w:highlight w:val="none"/>
        </w:rPr>
        <w:t>3、乙方所提供的服务必须与采购文件和承诺相一致且符合相应的服务规范及标准。</w:t>
      </w:r>
    </w:p>
    <w:p>
      <w:pPr>
        <w:pStyle w:val="19"/>
        <w:spacing w:after="0" w:line="360" w:lineRule="auto"/>
        <w:ind w:firstLine="450" w:firstLineChars="200"/>
        <w:outlineLvl w:val="1"/>
        <w:rPr>
          <w:rFonts w:ascii="宋体" w:hAnsi="宋体" w:cs="宋体"/>
          <w:b/>
          <w:bCs/>
          <w:color w:val="auto"/>
          <w:szCs w:val="21"/>
          <w:highlight w:val="none"/>
        </w:rPr>
      </w:pPr>
      <w:r>
        <w:rPr>
          <w:rFonts w:hint="eastAsia" w:ascii="宋体" w:hAnsi="宋体" w:cs="宋体"/>
          <w:b/>
          <w:bCs/>
          <w:color w:val="auto"/>
          <w:spacing w:val="7"/>
          <w:szCs w:val="21"/>
          <w:highlight w:val="none"/>
        </w:rPr>
        <w:t xml:space="preserve">第四条  </w:t>
      </w:r>
      <w:r>
        <w:rPr>
          <w:rFonts w:hint="eastAsia" w:ascii="宋体" w:hAnsi="宋体" w:cs="宋体"/>
          <w:color w:val="auto"/>
          <w:spacing w:val="7"/>
          <w:szCs w:val="21"/>
          <w:highlight w:val="none"/>
        </w:rPr>
        <w:t>售后服务、质保期</w:t>
      </w:r>
    </w:p>
    <w:p>
      <w:pPr>
        <w:pStyle w:val="19"/>
        <w:spacing w:after="0" w:line="360" w:lineRule="auto"/>
        <w:ind w:firstLine="460" w:firstLineChars="200"/>
        <w:rPr>
          <w:rFonts w:ascii="宋体" w:hAnsi="宋体" w:cs="宋体"/>
          <w:color w:val="auto"/>
          <w:szCs w:val="21"/>
          <w:highlight w:val="none"/>
        </w:rPr>
      </w:pPr>
      <w:r>
        <w:rPr>
          <w:rFonts w:hint="eastAsia" w:ascii="宋体" w:hAnsi="宋体" w:cs="宋体"/>
          <w:color w:val="auto"/>
          <w:spacing w:val="10"/>
          <w:szCs w:val="21"/>
          <w:highlight w:val="none"/>
        </w:rPr>
        <w:t>1、乙方应按照国家有关法律法规和“三包</w:t>
      </w:r>
      <w:r>
        <w:rPr>
          <w:rFonts w:hint="eastAsia" w:ascii="宋体" w:hAnsi="宋体" w:cs="宋体"/>
          <w:color w:val="auto"/>
          <w:spacing w:val="-70"/>
          <w:szCs w:val="21"/>
          <w:highlight w:val="none"/>
        </w:rPr>
        <w:t xml:space="preserve"> </w:t>
      </w:r>
      <w:r>
        <w:rPr>
          <w:rFonts w:hint="eastAsia" w:ascii="宋体" w:hAnsi="宋体" w:cs="宋体"/>
          <w:color w:val="auto"/>
          <w:spacing w:val="10"/>
          <w:szCs w:val="21"/>
          <w:highlight w:val="none"/>
        </w:rPr>
        <w:t>”规定以及采</w:t>
      </w:r>
      <w:r>
        <w:rPr>
          <w:rFonts w:hint="eastAsia" w:ascii="宋体" w:hAnsi="宋体" w:cs="宋体"/>
          <w:color w:val="auto"/>
          <w:spacing w:val="9"/>
          <w:szCs w:val="21"/>
          <w:highlight w:val="none"/>
        </w:rPr>
        <w:t>购文件、响应文件和本合同所附的</w:t>
      </w:r>
      <w:r>
        <w:rPr>
          <w:rFonts w:hint="eastAsia" w:ascii="宋体" w:hAnsi="宋体" w:cs="宋体"/>
          <w:color w:val="auto"/>
          <w:szCs w:val="21"/>
          <w:highlight w:val="none"/>
        </w:rPr>
        <w:t xml:space="preserve"> </w:t>
      </w:r>
      <w:r>
        <w:rPr>
          <w:rFonts w:hint="eastAsia" w:ascii="宋体" w:hAnsi="宋体" w:cs="宋体"/>
          <w:color w:val="auto"/>
          <w:spacing w:val="8"/>
          <w:szCs w:val="21"/>
          <w:highlight w:val="none"/>
        </w:rPr>
        <w:t>《服务承诺》，为甲方提供售后服务。</w:t>
      </w:r>
    </w:p>
    <w:p>
      <w:pPr>
        <w:pStyle w:val="19"/>
        <w:spacing w:after="0" w:line="360" w:lineRule="auto"/>
        <w:ind w:firstLine="456" w:firstLineChars="200"/>
        <w:rPr>
          <w:rFonts w:ascii="宋体" w:hAnsi="宋体" w:cs="宋体"/>
          <w:color w:val="auto"/>
          <w:szCs w:val="21"/>
          <w:highlight w:val="none"/>
        </w:rPr>
      </w:pPr>
      <w:r>
        <w:rPr>
          <w:rFonts w:hint="eastAsia" w:ascii="宋体" w:hAnsi="宋体" w:cs="宋体"/>
          <w:color w:val="auto"/>
          <w:spacing w:val="9"/>
          <w:szCs w:val="21"/>
          <w:highlight w:val="none"/>
        </w:rPr>
        <w:t>2、乙方提供的服务承诺、质保期及其他具体约定事项。（见合同附件）</w:t>
      </w:r>
    </w:p>
    <w:p>
      <w:pPr>
        <w:pStyle w:val="19"/>
        <w:spacing w:after="0" w:line="360" w:lineRule="auto"/>
        <w:ind w:firstLine="446" w:firstLineChars="200"/>
        <w:outlineLvl w:val="1"/>
        <w:rPr>
          <w:rFonts w:ascii="宋体" w:hAnsi="宋体" w:cs="宋体"/>
          <w:b/>
          <w:bCs/>
          <w:color w:val="auto"/>
          <w:szCs w:val="21"/>
          <w:highlight w:val="none"/>
        </w:rPr>
      </w:pPr>
      <w:r>
        <w:rPr>
          <w:rFonts w:hint="eastAsia" w:ascii="宋体" w:hAnsi="宋体" w:cs="宋体"/>
          <w:b/>
          <w:bCs/>
          <w:color w:val="auto"/>
          <w:spacing w:val="6"/>
          <w:szCs w:val="21"/>
          <w:highlight w:val="none"/>
        </w:rPr>
        <w:t xml:space="preserve">第五条 </w:t>
      </w:r>
      <w:r>
        <w:rPr>
          <w:rFonts w:hint="eastAsia" w:ascii="宋体" w:hAnsi="宋体" w:cs="宋体"/>
          <w:color w:val="auto"/>
          <w:spacing w:val="6"/>
          <w:szCs w:val="21"/>
          <w:highlight w:val="none"/>
        </w:rPr>
        <w:t xml:space="preserve"> 付款方式</w:t>
      </w:r>
    </w:p>
    <w:p>
      <w:pPr>
        <w:pStyle w:val="19"/>
        <w:spacing w:after="0" w:line="360" w:lineRule="auto"/>
        <w:ind w:firstLine="416" w:firstLineChars="200"/>
        <w:rPr>
          <w:rFonts w:ascii="宋体" w:hAnsi="宋体" w:cs="宋体"/>
          <w:color w:val="auto"/>
          <w:szCs w:val="21"/>
          <w:highlight w:val="none"/>
        </w:rPr>
      </w:pPr>
      <w:r>
        <w:rPr>
          <w:rFonts w:hint="eastAsia" w:ascii="宋体" w:hAnsi="宋体" w:cs="宋体"/>
          <w:color w:val="auto"/>
          <w:spacing w:val="-1"/>
          <w:szCs w:val="21"/>
          <w:highlight w:val="none"/>
          <w:u w:val="single"/>
          <w:lang w:val="en-US" w:eastAsia="zh-CN"/>
        </w:rPr>
        <w:t xml:space="preserve">          </w:t>
      </w:r>
      <w:r>
        <w:rPr>
          <w:rFonts w:hint="eastAsia" w:ascii="宋体" w:hAnsi="宋体" w:cs="宋体"/>
          <w:color w:val="auto"/>
          <w:spacing w:val="-1"/>
          <w:szCs w:val="21"/>
          <w:highlight w:val="none"/>
        </w:rPr>
        <w:t>。</w:t>
      </w:r>
    </w:p>
    <w:p>
      <w:pPr>
        <w:pStyle w:val="19"/>
        <w:spacing w:after="0" w:line="360" w:lineRule="auto"/>
        <w:ind w:firstLine="446" w:firstLineChars="200"/>
        <w:rPr>
          <w:rFonts w:ascii="宋体" w:hAnsi="宋体" w:cs="宋体"/>
          <w:color w:val="auto"/>
          <w:szCs w:val="21"/>
          <w:highlight w:val="none"/>
        </w:rPr>
      </w:pPr>
      <w:r>
        <w:rPr>
          <w:rFonts w:hint="eastAsia" w:ascii="宋体" w:hAnsi="宋体" w:cs="宋体"/>
          <w:b/>
          <w:bCs/>
          <w:color w:val="auto"/>
          <w:spacing w:val="6"/>
          <w:szCs w:val="21"/>
          <w:highlight w:val="none"/>
        </w:rPr>
        <w:t>第六条</w:t>
      </w:r>
      <w:r>
        <w:rPr>
          <w:rFonts w:hint="eastAsia" w:ascii="宋体" w:hAnsi="宋体" w:cs="宋体"/>
          <w:color w:val="auto"/>
          <w:spacing w:val="6"/>
          <w:szCs w:val="21"/>
          <w:highlight w:val="none"/>
        </w:rPr>
        <w:t xml:space="preserve">  履约保证金：</w:t>
      </w:r>
      <w:r>
        <w:rPr>
          <w:rFonts w:hint="eastAsia" w:ascii="宋体" w:hAnsi="宋体" w:cs="宋体"/>
          <w:color w:val="auto"/>
          <w:spacing w:val="7"/>
          <w:szCs w:val="21"/>
          <w:highlight w:val="none"/>
          <w:u w:val="single"/>
        </w:rPr>
        <w:t xml:space="preserve">    </w:t>
      </w:r>
      <w:r>
        <w:rPr>
          <w:rFonts w:hint="eastAsia" w:ascii="宋体" w:hAnsi="宋体" w:cs="宋体"/>
          <w:color w:val="auto"/>
          <w:spacing w:val="6"/>
          <w:szCs w:val="21"/>
          <w:highlight w:val="none"/>
          <w:u w:val="single"/>
        </w:rPr>
        <w:t>/</w:t>
      </w:r>
      <w:r>
        <w:rPr>
          <w:rFonts w:hint="eastAsia" w:ascii="宋体" w:hAnsi="宋体" w:cs="宋体"/>
          <w:color w:val="auto"/>
          <w:szCs w:val="21"/>
          <w:highlight w:val="none"/>
          <w:u w:val="single"/>
        </w:rPr>
        <w:t xml:space="preserve">      </w:t>
      </w:r>
    </w:p>
    <w:p>
      <w:pPr>
        <w:pStyle w:val="19"/>
        <w:spacing w:after="0" w:line="360" w:lineRule="auto"/>
        <w:ind w:firstLine="450" w:firstLineChars="200"/>
        <w:rPr>
          <w:rFonts w:hint="eastAsia" w:ascii="宋体" w:hAnsi="宋体" w:cs="宋体"/>
          <w:color w:val="auto"/>
          <w:szCs w:val="21"/>
          <w:highlight w:val="none"/>
        </w:rPr>
      </w:pPr>
      <w:r>
        <w:rPr>
          <w:rFonts w:hint="eastAsia" w:ascii="宋体" w:hAnsi="宋体" w:cs="宋体"/>
          <w:b/>
          <w:bCs/>
          <w:color w:val="auto"/>
          <w:spacing w:val="7"/>
          <w:szCs w:val="21"/>
          <w:highlight w:val="none"/>
        </w:rPr>
        <w:t>第七条</w:t>
      </w:r>
      <w:r>
        <w:rPr>
          <w:rFonts w:hint="eastAsia" w:ascii="宋体" w:hAnsi="宋体" w:cs="宋体"/>
          <w:color w:val="auto"/>
          <w:spacing w:val="7"/>
          <w:szCs w:val="21"/>
          <w:highlight w:val="none"/>
        </w:rPr>
        <w:t xml:space="preserve">  税费本合同执行中相关的一切税费均由乙</w:t>
      </w:r>
      <w:r>
        <w:rPr>
          <w:rFonts w:hint="eastAsia" w:ascii="宋体" w:hAnsi="宋体" w:cs="宋体"/>
          <w:color w:val="auto"/>
          <w:spacing w:val="6"/>
          <w:szCs w:val="21"/>
          <w:highlight w:val="none"/>
        </w:rPr>
        <w:t>方负担。</w:t>
      </w:r>
      <w:r>
        <w:rPr>
          <w:rFonts w:hint="eastAsia" w:ascii="宋体" w:hAnsi="宋体" w:cs="宋体"/>
          <w:color w:val="auto"/>
          <w:szCs w:val="21"/>
          <w:highlight w:val="none"/>
        </w:rPr>
        <w:t xml:space="preserve"> </w:t>
      </w:r>
    </w:p>
    <w:p>
      <w:pPr>
        <w:pStyle w:val="19"/>
        <w:spacing w:after="0" w:line="360" w:lineRule="auto"/>
        <w:ind w:firstLine="450" w:firstLineChars="200"/>
        <w:rPr>
          <w:rFonts w:ascii="宋体" w:hAnsi="宋体" w:cs="宋体"/>
          <w:color w:val="auto"/>
          <w:szCs w:val="21"/>
          <w:highlight w:val="none"/>
        </w:rPr>
      </w:pPr>
      <w:r>
        <w:rPr>
          <w:rFonts w:hint="eastAsia" w:ascii="宋体" w:hAnsi="宋体" w:cs="宋体"/>
          <w:b/>
          <w:bCs/>
          <w:color w:val="auto"/>
          <w:spacing w:val="7"/>
          <w:szCs w:val="21"/>
          <w:highlight w:val="none"/>
        </w:rPr>
        <w:t>第八条</w:t>
      </w:r>
      <w:r>
        <w:rPr>
          <w:rFonts w:hint="eastAsia" w:ascii="宋体" w:hAnsi="宋体" w:cs="宋体"/>
          <w:color w:val="auto"/>
          <w:spacing w:val="9"/>
          <w:szCs w:val="21"/>
          <w:highlight w:val="none"/>
        </w:rPr>
        <w:t xml:space="preserve">  </w:t>
      </w:r>
      <w:r>
        <w:rPr>
          <w:rFonts w:hint="eastAsia" w:ascii="宋体" w:hAnsi="宋体" w:cs="宋体"/>
          <w:color w:val="auto"/>
          <w:spacing w:val="5"/>
          <w:szCs w:val="21"/>
          <w:highlight w:val="none"/>
        </w:rPr>
        <w:t>验收</w:t>
      </w:r>
    </w:p>
    <w:p>
      <w:pPr>
        <w:pStyle w:val="19"/>
        <w:spacing w:after="0" w:line="360" w:lineRule="auto"/>
        <w:ind w:firstLine="452" w:firstLineChars="200"/>
        <w:rPr>
          <w:rFonts w:ascii="宋体" w:hAnsi="宋体" w:cs="宋体"/>
          <w:color w:val="auto"/>
          <w:szCs w:val="21"/>
          <w:highlight w:val="none"/>
        </w:rPr>
      </w:pPr>
      <w:r>
        <w:rPr>
          <w:rFonts w:hint="eastAsia" w:ascii="宋体" w:hAnsi="宋体" w:cs="宋体"/>
          <w:color w:val="auto"/>
          <w:spacing w:val="8"/>
          <w:szCs w:val="21"/>
          <w:highlight w:val="none"/>
        </w:rPr>
        <w:t>1.甲方对乙方提交的服务依据采购文件上的服务要求和国家有关质量标准进行现场初步验收，符合采购文件技术要求的，给予签收，初步验收不合格的不予签收。甲方应当在服务期满十</w:t>
      </w:r>
      <w:r>
        <w:rPr>
          <w:rFonts w:hint="eastAsia" w:ascii="宋体" w:hAnsi="宋体" w:cs="宋体"/>
          <w:color w:val="auto"/>
          <w:spacing w:val="7"/>
          <w:szCs w:val="21"/>
          <w:highlight w:val="none"/>
        </w:rPr>
        <w:t>五个工作日内进行验收。</w:t>
      </w:r>
    </w:p>
    <w:p>
      <w:pPr>
        <w:pStyle w:val="19"/>
        <w:spacing w:after="0" w:line="360" w:lineRule="auto"/>
        <w:ind w:firstLine="460" w:firstLineChars="200"/>
        <w:rPr>
          <w:rFonts w:ascii="宋体" w:hAnsi="宋体" w:cs="宋体"/>
          <w:color w:val="auto"/>
          <w:szCs w:val="21"/>
          <w:highlight w:val="none"/>
        </w:rPr>
      </w:pPr>
      <w:r>
        <w:rPr>
          <w:rFonts w:hint="eastAsia" w:ascii="宋体" w:hAnsi="宋体" w:cs="宋体"/>
          <w:color w:val="auto"/>
          <w:spacing w:val="10"/>
          <w:szCs w:val="21"/>
          <w:highlight w:val="none"/>
        </w:rPr>
        <w:t>2.乙方提交服务成果前应对提交的服务成果作出全面检查和对验收文件</w:t>
      </w:r>
      <w:r>
        <w:rPr>
          <w:rFonts w:hint="eastAsia" w:ascii="宋体" w:hAnsi="宋体" w:cs="宋体"/>
          <w:color w:val="auto"/>
          <w:spacing w:val="9"/>
          <w:szCs w:val="21"/>
          <w:highlight w:val="none"/>
        </w:rPr>
        <w:t>进行整理，并列出清单，作为甲方验收和使用的技术条件依据，检验的结果应随服务成果交给甲方。</w:t>
      </w:r>
    </w:p>
    <w:p>
      <w:pPr>
        <w:pStyle w:val="19"/>
        <w:spacing w:after="0" w:line="360" w:lineRule="auto"/>
        <w:ind w:firstLine="456" w:firstLineChars="200"/>
        <w:rPr>
          <w:rFonts w:ascii="宋体" w:hAnsi="宋体" w:cs="宋体"/>
          <w:color w:val="auto"/>
          <w:szCs w:val="21"/>
          <w:highlight w:val="none"/>
        </w:rPr>
      </w:pPr>
      <w:r>
        <w:rPr>
          <w:rFonts w:hint="eastAsia" w:ascii="宋体" w:hAnsi="宋体" w:cs="宋体"/>
          <w:color w:val="auto"/>
          <w:spacing w:val="9"/>
          <w:szCs w:val="21"/>
          <w:highlight w:val="none"/>
        </w:rPr>
        <w:t>3.对技术复杂的服务，甲方应请国家认可的专业检测机构参与初步验收及最终验收，并由</w:t>
      </w:r>
      <w:r>
        <w:rPr>
          <w:rFonts w:hint="eastAsia" w:ascii="宋体" w:hAnsi="宋体" w:cs="宋体"/>
          <w:color w:val="auto"/>
          <w:spacing w:val="7"/>
          <w:szCs w:val="21"/>
          <w:highlight w:val="none"/>
        </w:rPr>
        <w:t>其出具质量检测报告。</w:t>
      </w:r>
    </w:p>
    <w:p>
      <w:pPr>
        <w:pStyle w:val="19"/>
        <w:spacing w:after="0" w:line="360" w:lineRule="auto"/>
        <w:ind w:firstLine="456" w:firstLineChars="200"/>
        <w:rPr>
          <w:rFonts w:ascii="宋体" w:hAnsi="宋体" w:cs="宋体"/>
          <w:color w:val="auto"/>
          <w:szCs w:val="21"/>
          <w:highlight w:val="none"/>
        </w:rPr>
      </w:pPr>
      <w:r>
        <w:rPr>
          <w:rFonts w:hint="eastAsia" w:ascii="宋体" w:hAnsi="宋体" w:cs="宋体"/>
          <w:color w:val="auto"/>
          <w:spacing w:val="9"/>
          <w:szCs w:val="21"/>
          <w:highlight w:val="none"/>
        </w:rPr>
        <w:t>4.验收时乙方必须在现场，验收完毕后做出验收结果报告；验收费用由乙方负责。</w:t>
      </w:r>
    </w:p>
    <w:p>
      <w:pPr>
        <w:pStyle w:val="19"/>
        <w:spacing w:after="0" w:line="360" w:lineRule="auto"/>
        <w:ind w:firstLine="446" w:firstLineChars="200"/>
        <w:outlineLvl w:val="1"/>
        <w:rPr>
          <w:rFonts w:ascii="宋体" w:hAnsi="宋体" w:cs="宋体"/>
          <w:color w:val="auto"/>
          <w:szCs w:val="21"/>
          <w:highlight w:val="none"/>
        </w:rPr>
      </w:pPr>
      <w:r>
        <w:rPr>
          <w:rFonts w:hint="eastAsia" w:ascii="宋体" w:hAnsi="宋体" w:cs="宋体"/>
          <w:b/>
          <w:bCs/>
          <w:color w:val="auto"/>
          <w:spacing w:val="6"/>
          <w:szCs w:val="21"/>
          <w:highlight w:val="none"/>
        </w:rPr>
        <w:t>第九条</w:t>
      </w:r>
      <w:r>
        <w:rPr>
          <w:rFonts w:hint="eastAsia" w:ascii="宋体" w:hAnsi="宋体" w:cs="宋体"/>
          <w:color w:val="auto"/>
          <w:spacing w:val="6"/>
          <w:szCs w:val="21"/>
          <w:highlight w:val="none"/>
        </w:rPr>
        <w:t xml:space="preserve">  违约责任</w:t>
      </w:r>
    </w:p>
    <w:p>
      <w:pPr>
        <w:pStyle w:val="19"/>
        <w:spacing w:after="0" w:line="360" w:lineRule="auto"/>
        <w:ind w:firstLine="460" w:firstLineChars="200"/>
        <w:rPr>
          <w:rFonts w:ascii="宋体" w:hAnsi="宋体" w:cs="宋体"/>
          <w:color w:val="auto"/>
          <w:szCs w:val="21"/>
          <w:highlight w:val="none"/>
        </w:rPr>
      </w:pPr>
      <w:r>
        <w:rPr>
          <w:rFonts w:hint="eastAsia" w:ascii="宋体" w:hAnsi="宋体" w:cs="宋体"/>
          <w:color w:val="auto"/>
          <w:spacing w:val="10"/>
          <w:szCs w:val="21"/>
          <w:highlight w:val="none"/>
        </w:rPr>
        <w:t>1.乙方所提供的服务、技术标准、材料等质量不</w:t>
      </w:r>
      <w:r>
        <w:rPr>
          <w:rFonts w:hint="eastAsia" w:ascii="宋体" w:hAnsi="宋体" w:cs="宋体"/>
          <w:color w:val="auto"/>
          <w:spacing w:val="9"/>
          <w:szCs w:val="21"/>
          <w:highlight w:val="none"/>
        </w:rPr>
        <w:t>合格的，应及时更换，更换不及时的按服</w:t>
      </w:r>
      <w:r>
        <w:rPr>
          <w:rFonts w:hint="eastAsia" w:ascii="宋体" w:hAnsi="宋体" w:cs="宋体"/>
          <w:color w:val="auto"/>
          <w:spacing w:val="8"/>
          <w:szCs w:val="21"/>
          <w:highlight w:val="none"/>
        </w:rPr>
        <w:t>务不及时处罚；因质量问题甲方不同意接收的或特殊情况甲方同意接收的，乙方应向甲方支付合同款总额5%违约金并赔偿甲方经济损失。</w:t>
      </w:r>
    </w:p>
    <w:p>
      <w:pPr>
        <w:pStyle w:val="19"/>
        <w:spacing w:after="0" w:line="360" w:lineRule="auto"/>
        <w:ind w:firstLine="460" w:firstLineChars="200"/>
        <w:rPr>
          <w:rFonts w:ascii="宋体" w:hAnsi="宋体" w:cs="宋体"/>
          <w:color w:val="auto"/>
          <w:szCs w:val="21"/>
          <w:highlight w:val="none"/>
        </w:rPr>
      </w:pPr>
      <w:r>
        <w:rPr>
          <w:rFonts w:hint="eastAsia" w:ascii="宋体" w:hAnsi="宋体" w:cs="宋体"/>
          <w:color w:val="auto"/>
          <w:spacing w:val="10"/>
          <w:szCs w:val="21"/>
          <w:highlight w:val="none"/>
        </w:rPr>
        <w:t>2.乙方提供的服务如侵犯了第三方合法权益而引发的任何纠纷或诉讼，</w:t>
      </w:r>
      <w:r>
        <w:rPr>
          <w:rFonts w:hint="eastAsia" w:ascii="宋体" w:hAnsi="宋体" w:cs="宋体"/>
          <w:color w:val="auto"/>
          <w:spacing w:val="9"/>
          <w:szCs w:val="21"/>
          <w:highlight w:val="none"/>
        </w:rPr>
        <w:t>均由乙方负责交涉</w:t>
      </w:r>
      <w:r>
        <w:rPr>
          <w:rFonts w:hint="eastAsia" w:ascii="宋体" w:hAnsi="宋体" w:cs="宋体"/>
          <w:color w:val="auto"/>
          <w:spacing w:val="6"/>
          <w:szCs w:val="21"/>
          <w:highlight w:val="none"/>
        </w:rPr>
        <w:t>并承担全部责任。</w:t>
      </w:r>
    </w:p>
    <w:p>
      <w:pPr>
        <w:pStyle w:val="19"/>
        <w:spacing w:after="0" w:line="360" w:lineRule="auto"/>
        <w:ind w:firstLine="456" w:firstLineChars="200"/>
        <w:rPr>
          <w:rFonts w:ascii="宋体" w:hAnsi="宋体" w:cs="宋体"/>
          <w:color w:val="auto"/>
          <w:szCs w:val="21"/>
          <w:highlight w:val="none"/>
        </w:rPr>
      </w:pPr>
      <w:r>
        <w:rPr>
          <w:rFonts w:hint="eastAsia" w:ascii="宋体" w:hAnsi="宋体" w:cs="宋体"/>
          <w:color w:val="auto"/>
          <w:spacing w:val="9"/>
          <w:szCs w:val="21"/>
          <w:highlight w:val="none"/>
        </w:rPr>
        <w:t>3.因包装、运输引起的相关维保备用品或零件损坏，按</w:t>
      </w:r>
      <w:r>
        <w:rPr>
          <w:rFonts w:hint="eastAsia" w:ascii="宋体" w:hAnsi="宋体" w:cs="宋体"/>
          <w:color w:val="auto"/>
          <w:spacing w:val="8"/>
          <w:szCs w:val="21"/>
          <w:highlight w:val="none"/>
        </w:rPr>
        <w:t>质量不合格处罚。</w:t>
      </w:r>
    </w:p>
    <w:p>
      <w:pPr>
        <w:pStyle w:val="19"/>
        <w:spacing w:after="0" w:line="360" w:lineRule="auto"/>
        <w:ind w:firstLine="464" w:firstLineChars="200"/>
        <w:rPr>
          <w:rFonts w:ascii="宋体" w:hAnsi="宋体" w:cs="宋体"/>
          <w:color w:val="auto"/>
          <w:szCs w:val="21"/>
          <w:highlight w:val="none"/>
        </w:rPr>
      </w:pPr>
      <w:r>
        <w:rPr>
          <w:rFonts w:hint="eastAsia" w:ascii="宋体" w:hAnsi="宋体" w:cs="宋体"/>
          <w:color w:val="auto"/>
          <w:spacing w:val="11"/>
          <w:szCs w:val="21"/>
          <w:highlight w:val="none"/>
        </w:rPr>
        <w:t>4.乙方不及时服务的，每天向甲方偿付当年合同款额</w:t>
      </w:r>
      <w:r>
        <w:rPr>
          <w:rFonts w:hint="eastAsia" w:ascii="宋体" w:hAnsi="宋体" w:cs="宋体"/>
          <w:color w:val="auto"/>
          <w:spacing w:val="10"/>
          <w:szCs w:val="21"/>
          <w:highlight w:val="none"/>
        </w:rPr>
        <w:t>3‰违约金，但违约金累计不得超过</w:t>
      </w:r>
      <w:r>
        <w:rPr>
          <w:rFonts w:hint="eastAsia" w:ascii="宋体" w:hAnsi="宋体" w:cs="宋体"/>
          <w:color w:val="auto"/>
          <w:spacing w:val="8"/>
          <w:szCs w:val="21"/>
          <w:highlight w:val="none"/>
        </w:rPr>
        <w:t>合同款总额5%，超过</w:t>
      </w:r>
      <w:r>
        <w:rPr>
          <w:rFonts w:hint="eastAsia" w:ascii="宋体" w:hAnsi="宋体" w:cs="宋体"/>
          <w:color w:val="auto"/>
          <w:spacing w:val="8"/>
          <w:szCs w:val="21"/>
          <w:highlight w:val="none"/>
          <w:u w:val="single"/>
        </w:rPr>
        <w:t>120</w:t>
      </w:r>
      <w:r>
        <w:rPr>
          <w:rFonts w:hint="eastAsia" w:ascii="宋体" w:hAnsi="宋体" w:cs="宋体"/>
          <w:color w:val="auto"/>
          <w:spacing w:val="8"/>
          <w:szCs w:val="21"/>
          <w:highlight w:val="none"/>
        </w:rPr>
        <w:t>天甲方有权解除合同，乙方承担因此给对方造成经济损失。</w:t>
      </w:r>
    </w:p>
    <w:p>
      <w:pPr>
        <w:pStyle w:val="19"/>
        <w:spacing w:after="0" w:line="360" w:lineRule="auto"/>
        <w:ind w:firstLine="460" w:firstLineChars="200"/>
        <w:rPr>
          <w:rFonts w:ascii="宋体" w:hAnsi="宋体" w:cs="宋体"/>
          <w:color w:val="auto"/>
          <w:szCs w:val="21"/>
          <w:highlight w:val="none"/>
        </w:rPr>
      </w:pPr>
      <w:r>
        <w:rPr>
          <w:rFonts w:hint="eastAsia" w:ascii="宋体" w:hAnsi="宋体" w:cs="宋体"/>
          <w:color w:val="auto"/>
          <w:spacing w:val="10"/>
          <w:szCs w:val="21"/>
          <w:highlight w:val="none"/>
        </w:rPr>
        <w:t>5.乙方未按本合同和报价文件中规定的服务承诺提供售后服务的，乙</w:t>
      </w:r>
      <w:r>
        <w:rPr>
          <w:rFonts w:hint="eastAsia" w:ascii="宋体" w:hAnsi="宋体" w:cs="宋体"/>
          <w:color w:val="auto"/>
          <w:spacing w:val="9"/>
          <w:szCs w:val="21"/>
          <w:highlight w:val="none"/>
        </w:rPr>
        <w:t>方应按本合同合计金</w:t>
      </w:r>
      <w:r>
        <w:rPr>
          <w:rFonts w:hint="eastAsia" w:ascii="宋体" w:hAnsi="宋体" w:cs="宋体"/>
          <w:color w:val="auto"/>
          <w:spacing w:val="7"/>
          <w:szCs w:val="21"/>
          <w:highlight w:val="none"/>
        </w:rPr>
        <w:t>额5%向甲方支付违约金。</w:t>
      </w:r>
    </w:p>
    <w:p>
      <w:pPr>
        <w:pStyle w:val="19"/>
        <w:spacing w:after="0" w:line="360" w:lineRule="auto"/>
        <w:ind w:firstLine="460" w:firstLineChars="200"/>
        <w:rPr>
          <w:rFonts w:ascii="宋体" w:hAnsi="宋体" w:cs="宋体"/>
          <w:color w:val="auto"/>
          <w:szCs w:val="21"/>
          <w:highlight w:val="none"/>
        </w:rPr>
      </w:pPr>
      <w:r>
        <w:rPr>
          <w:rFonts w:hint="eastAsia" w:ascii="宋体" w:hAnsi="宋体" w:cs="宋体"/>
          <w:color w:val="auto"/>
          <w:spacing w:val="10"/>
          <w:szCs w:val="21"/>
          <w:highlight w:val="none"/>
        </w:rPr>
        <w:t>6.乙方提供的相关维保备用品或零件在质量保证期内，因设计、工艺或材</w:t>
      </w:r>
      <w:r>
        <w:rPr>
          <w:rFonts w:hint="eastAsia" w:ascii="宋体" w:hAnsi="宋体" w:cs="宋体"/>
          <w:color w:val="auto"/>
          <w:spacing w:val="9"/>
          <w:szCs w:val="21"/>
          <w:highlight w:val="none"/>
        </w:rPr>
        <w:t>料的缺陷和其他</w:t>
      </w:r>
      <w:r>
        <w:rPr>
          <w:rFonts w:hint="eastAsia" w:ascii="宋体" w:hAnsi="宋体" w:cs="宋体"/>
          <w:color w:val="auto"/>
          <w:spacing w:val="8"/>
          <w:szCs w:val="21"/>
          <w:highlight w:val="none"/>
        </w:rPr>
        <w:t>质量原因造成的问题，由乙方负责。因此而给甲方造成的直接应由乙方承担。</w:t>
      </w:r>
    </w:p>
    <w:p>
      <w:pPr>
        <w:pStyle w:val="19"/>
        <w:spacing w:after="0" w:line="360" w:lineRule="auto"/>
        <w:ind w:firstLine="448" w:firstLineChars="200"/>
        <w:rPr>
          <w:rFonts w:ascii="宋体" w:hAnsi="宋体" w:cs="宋体"/>
          <w:color w:val="auto"/>
          <w:szCs w:val="21"/>
          <w:highlight w:val="none"/>
        </w:rPr>
      </w:pPr>
      <w:r>
        <w:rPr>
          <w:rFonts w:hint="eastAsia" w:ascii="宋体" w:hAnsi="宋体" w:cs="宋体"/>
          <w:color w:val="auto"/>
          <w:spacing w:val="7"/>
          <w:szCs w:val="21"/>
          <w:highlight w:val="none"/>
        </w:rPr>
        <w:t>7.乙方的其他违约行为按合同总款额5%收取违约金并赔偿甲方的经济损失。</w:t>
      </w:r>
    </w:p>
    <w:p>
      <w:pPr>
        <w:pStyle w:val="19"/>
        <w:spacing w:after="0" w:line="360" w:lineRule="auto"/>
        <w:ind w:firstLine="450" w:firstLineChars="200"/>
        <w:outlineLvl w:val="1"/>
        <w:rPr>
          <w:rFonts w:ascii="宋体" w:hAnsi="宋体" w:cs="宋体"/>
          <w:color w:val="auto"/>
          <w:szCs w:val="21"/>
          <w:highlight w:val="none"/>
        </w:rPr>
      </w:pPr>
      <w:r>
        <w:rPr>
          <w:rFonts w:hint="eastAsia" w:ascii="宋体" w:hAnsi="宋体" w:cs="宋体"/>
          <w:b/>
          <w:bCs/>
          <w:color w:val="auto"/>
          <w:spacing w:val="7"/>
          <w:szCs w:val="21"/>
          <w:highlight w:val="none"/>
        </w:rPr>
        <w:t>第十条</w:t>
      </w:r>
      <w:r>
        <w:rPr>
          <w:rFonts w:hint="eastAsia" w:ascii="宋体" w:hAnsi="宋体" w:cs="宋体"/>
          <w:color w:val="auto"/>
          <w:spacing w:val="7"/>
          <w:szCs w:val="21"/>
          <w:highlight w:val="none"/>
        </w:rPr>
        <w:t xml:space="preserve"> 不可抗力事件处理</w:t>
      </w:r>
    </w:p>
    <w:p>
      <w:pPr>
        <w:pStyle w:val="19"/>
        <w:spacing w:after="0" w:line="360" w:lineRule="auto"/>
        <w:ind w:firstLine="456" w:firstLineChars="200"/>
        <w:rPr>
          <w:rFonts w:ascii="宋体" w:hAnsi="宋体" w:cs="宋体"/>
          <w:color w:val="auto"/>
          <w:szCs w:val="21"/>
          <w:highlight w:val="none"/>
        </w:rPr>
      </w:pPr>
      <w:r>
        <w:rPr>
          <w:rFonts w:hint="eastAsia" w:ascii="宋体" w:hAnsi="宋体" w:cs="宋体"/>
          <w:color w:val="auto"/>
          <w:spacing w:val="9"/>
          <w:szCs w:val="21"/>
          <w:highlight w:val="none"/>
        </w:rPr>
        <w:t>1.在合同有效期内，任何一方因不可抗力事件导致不能履行合同，则合同履行</w:t>
      </w:r>
      <w:r>
        <w:rPr>
          <w:rFonts w:hint="eastAsia" w:ascii="宋体" w:hAnsi="宋体" w:cs="宋体"/>
          <w:color w:val="auto"/>
          <w:spacing w:val="8"/>
          <w:szCs w:val="21"/>
          <w:highlight w:val="none"/>
        </w:rPr>
        <w:t>期可延长，其延长期与不可抗力影响期相同。</w:t>
      </w:r>
    </w:p>
    <w:p>
      <w:pPr>
        <w:pStyle w:val="19"/>
        <w:spacing w:after="0" w:line="360" w:lineRule="auto"/>
        <w:ind w:firstLine="444" w:firstLineChars="200"/>
        <w:rPr>
          <w:rFonts w:ascii="宋体" w:hAnsi="宋体" w:cs="宋体"/>
          <w:color w:val="auto"/>
          <w:szCs w:val="21"/>
          <w:highlight w:val="none"/>
        </w:rPr>
      </w:pPr>
      <w:r>
        <w:rPr>
          <w:rFonts w:hint="eastAsia" w:ascii="宋体" w:hAnsi="宋体" w:cs="宋体"/>
          <w:color w:val="auto"/>
          <w:spacing w:val="6"/>
          <w:szCs w:val="21"/>
          <w:highlight w:val="none"/>
        </w:rPr>
        <w:t>2.不可抗力事件发生后，应于知道或应当知道不</w:t>
      </w:r>
      <w:r>
        <w:rPr>
          <w:rFonts w:hint="eastAsia" w:ascii="宋体" w:hAnsi="宋体" w:cs="宋体"/>
          <w:color w:val="auto"/>
          <w:spacing w:val="5"/>
          <w:szCs w:val="21"/>
          <w:highlight w:val="none"/>
        </w:rPr>
        <w:t>可抗力事件之时日内立即书面通知对方，</w:t>
      </w:r>
      <w:r>
        <w:rPr>
          <w:rFonts w:hint="eastAsia" w:ascii="宋体" w:hAnsi="宋体" w:cs="宋体"/>
          <w:color w:val="auto"/>
          <w:spacing w:val="8"/>
          <w:szCs w:val="21"/>
          <w:highlight w:val="none"/>
        </w:rPr>
        <w:t>并寄送有关权威机构出具的证明。</w:t>
      </w:r>
    </w:p>
    <w:p>
      <w:pPr>
        <w:pStyle w:val="19"/>
        <w:spacing w:after="0" w:line="360" w:lineRule="auto"/>
        <w:ind w:firstLine="456" w:firstLineChars="200"/>
        <w:rPr>
          <w:rFonts w:ascii="宋体" w:hAnsi="宋体" w:cs="宋体"/>
          <w:color w:val="auto"/>
          <w:szCs w:val="21"/>
          <w:highlight w:val="none"/>
        </w:rPr>
      </w:pPr>
      <w:r>
        <w:rPr>
          <w:rFonts w:hint="eastAsia" w:ascii="宋体" w:hAnsi="宋体" w:cs="宋体"/>
          <w:color w:val="auto"/>
          <w:spacing w:val="9"/>
          <w:szCs w:val="21"/>
          <w:highlight w:val="none"/>
        </w:rPr>
        <w:t>3.不可抗力事件延续一百二十天以上，双方应通过友好协商，确定是否继续履行合</w:t>
      </w:r>
      <w:r>
        <w:rPr>
          <w:rFonts w:hint="eastAsia" w:ascii="宋体" w:hAnsi="宋体" w:cs="宋体"/>
          <w:color w:val="auto"/>
          <w:spacing w:val="8"/>
          <w:szCs w:val="21"/>
          <w:highlight w:val="none"/>
        </w:rPr>
        <w:t>同。</w:t>
      </w:r>
    </w:p>
    <w:p>
      <w:pPr>
        <w:pStyle w:val="19"/>
        <w:spacing w:after="0" w:line="360" w:lineRule="auto"/>
        <w:ind w:firstLine="450" w:firstLineChars="200"/>
        <w:outlineLvl w:val="1"/>
        <w:rPr>
          <w:rFonts w:ascii="宋体" w:hAnsi="宋体" w:cs="宋体"/>
          <w:color w:val="auto"/>
          <w:szCs w:val="21"/>
          <w:highlight w:val="none"/>
        </w:rPr>
      </w:pPr>
      <w:r>
        <w:rPr>
          <w:rFonts w:hint="eastAsia" w:ascii="宋体" w:hAnsi="宋体" w:cs="宋体"/>
          <w:b/>
          <w:bCs/>
          <w:color w:val="auto"/>
          <w:spacing w:val="7"/>
          <w:szCs w:val="21"/>
          <w:highlight w:val="none"/>
        </w:rPr>
        <w:t>第十一条</w:t>
      </w:r>
      <w:r>
        <w:rPr>
          <w:rFonts w:hint="eastAsia" w:ascii="宋体" w:hAnsi="宋体" w:cs="宋体"/>
          <w:color w:val="auto"/>
          <w:spacing w:val="7"/>
          <w:szCs w:val="21"/>
          <w:highlight w:val="none"/>
        </w:rPr>
        <w:t xml:space="preserve">  合同争议解决</w:t>
      </w:r>
    </w:p>
    <w:p>
      <w:pPr>
        <w:pStyle w:val="19"/>
        <w:spacing w:after="0" w:line="360" w:lineRule="auto"/>
        <w:ind w:firstLine="460" w:firstLineChars="200"/>
        <w:rPr>
          <w:rFonts w:ascii="宋体" w:hAnsi="宋体" w:cs="宋体"/>
          <w:color w:val="auto"/>
          <w:szCs w:val="21"/>
          <w:highlight w:val="none"/>
        </w:rPr>
      </w:pPr>
      <w:r>
        <w:rPr>
          <w:rFonts w:hint="eastAsia" w:ascii="宋体" w:hAnsi="宋体" w:cs="宋体"/>
          <w:color w:val="auto"/>
          <w:spacing w:val="10"/>
          <w:szCs w:val="21"/>
          <w:highlight w:val="none"/>
        </w:rPr>
        <w:t>1、因服务成果质量问题发生争议的，应邀请国家认可的质量检测机构对服务成果质量进行</w:t>
      </w:r>
      <w:r>
        <w:rPr>
          <w:rFonts w:hint="eastAsia" w:ascii="宋体" w:hAnsi="宋体" w:cs="宋体"/>
          <w:color w:val="auto"/>
          <w:spacing w:val="9"/>
          <w:szCs w:val="21"/>
          <w:highlight w:val="none"/>
        </w:rPr>
        <w:t>鉴定。服务成果符合标准的，鉴定费由甲方承担；服务成果不符合标准的，鉴定费由</w:t>
      </w:r>
      <w:r>
        <w:rPr>
          <w:rFonts w:hint="eastAsia" w:ascii="宋体" w:hAnsi="宋体" w:cs="宋体"/>
          <w:color w:val="auto"/>
          <w:spacing w:val="8"/>
          <w:szCs w:val="21"/>
          <w:highlight w:val="none"/>
        </w:rPr>
        <w:t>乙方承担。</w:t>
      </w:r>
    </w:p>
    <w:p>
      <w:pPr>
        <w:pStyle w:val="19"/>
        <w:spacing w:after="0" w:line="360" w:lineRule="auto"/>
        <w:ind w:firstLine="460" w:firstLineChars="200"/>
        <w:rPr>
          <w:rFonts w:ascii="宋体" w:hAnsi="宋体" w:cs="宋体"/>
          <w:color w:val="auto"/>
          <w:szCs w:val="21"/>
          <w:highlight w:val="none"/>
        </w:rPr>
      </w:pPr>
      <w:r>
        <w:rPr>
          <w:rFonts w:hint="eastAsia" w:ascii="宋体" w:hAnsi="宋体" w:cs="宋体"/>
          <w:color w:val="auto"/>
          <w:spacing w:val="10"/>
          <w:szCs w:val="21"/>
          <w:highlight w:val="none"/>
        </w:rPr>
        <w:t>2、因履行本合同引起的或与本合同有关的争议，甲乙</w:t>
      </w:r>
      <w:r>
        <w:rPr>
          <w:rFonts w:hint="eastAsia" w:ascii="宋体" w:hAnsi="宋体" w:cs="宋体"/>
          <w:color w:val="auto"/>
          <w:spacing w:val="9"/>
          <w:szCs w:val="21"/>
          <w:highlight w:val="none"/>
        </w:rPr>
        <w:t>双方应首先通过友好协商解决，如果协商不能解决，向甲方所在地有管辖权的人民法院提起诉讼。</w:t>
      </w:r>
    </w:p>
    <w:p>
      <w:pPr>
        <w:pStyle w:val="19"/>
        <w:spacing w:after="0" w:line="360" w:lineRule="auto"/>
        <w:ind w:firstLine="452" w:firstLineChars="200"/>
        <w:outlineLvl w:val="2"/>
        <w:rPr>
          <w:rFonts w:ascii="宋体" w:hAnsi="宋体" w:cs="宋体"/>
          <w:color w:val="auto"/>
          <w:szCs w:val="21"/>
          <w:highlight w:val="none"/>
        </w:rPr>
      </w:pPr>
      <w:r>
        <w:rPr>
          <w:rFonts w:hint="eastAsia" w:ascii="宋体" w:hAnsi="宋体" w:cs="宋体"/>
          <w:color w:val="auto"/>
          <w:spacing w:val="8"/>
          <w:szCs w:val="21"/>
          <w:highlight w:val="none"/>
        </w:rPr>
        <w:t>3、诉讼期间，本合同无争议部分继续履行。</w:t>
      </w:r>
    </w:p>
    <w:p>
      <w:pPr>
        <w:pStyle w:val="19"/>
        <w:spacing w:after="0" w:line="360" w:lineRule="auto"/>
        <w:ind w:firstLine="446" w:firstLineChars="200"/>
        <w:outlineLvl w:val="1"/>
        <w:rPr>
          <w:rFonts w:ascii="宋体" w:hAnsi="宋体" w:cs="宋体"/>
          <w:b/>
          <w:bCs/>
          <w:color w:val="auto"/>
          <w:szCs w:val="21"/>
          <w:highlight w:val="none"/>
        </w:rPr>
      </w:pPr>
      <w:r>
        <w:rPr>
          <w:rFonts w:hint="eastAsia" w:ascii="宋体" w:hAnsi="宋体" w:cs="宋体"/>
          <w:b/>
          <w:bCs/>
          <w:color w:val="auto"/>
          <w:spacing w:val="6"/>
          <w:szCs w:val="21"/>
          <w:highlight w:val="none"/>
        </w:rPr>
        <w:t>第十二条 诉讼</w:t>
      </w:r>
    </w:p>
    <w:p>
      <w:pPr>
        <w:pStyle w:val="19"/>
        <w:spacing w:after="0" w:line="360" w:lineRule="auto"/>
        <w:ind w:firstLine="452" w:firstLineChars="200"/>
        <w:rPr>
          <w:rFonts w:ascii="宋体" w:hAnsi="宋体" w:cs="宋体"/>
          <w:color w:val="auto"/>
          <w:szCs w:val="21"/>
          <w:highlight w:val="none"/>
        </w:rPr>
      </w:pPr>
      <w:r>
        <w:rPr>
          <w:rFonts w:hint="eastAsia" w:ascii="宋体" w:hAnsi="宋体" w:cs="宋体"/>
          <w:color w:val="auto"/>
          <w:spacing w:val="8"/>
          <w:szCs w:val="21"/>
          <w:highlight w:val="none"/>
        </w:rPr>
        <w:t>双方在执行合同中所发生的一切争议，应通过协商解决。如果协商不能解决，可向甲方所在地有管辖权的人民法院提起诉讼。</w:t>
      </w:r>
    </w:p>
    <w:p>
      <w:pPr>
        <w:pStyle w:val="19"/>
        <w:spacing w:after="0" w:line="360" w:lineRule="auto"/>
        <w:ind w:firstLine="450" w:firstLineChars="200"/>
        <w:outlineLvl w:val="1"/>
        <w:rPr>
          <w:rFonts w:ascii="宋体" w:hAnsi="宋体" w:cs="宋体"/>
          <w:b/>
          <w:bCs/>
          <w:color w:val="auto"/>
          <w:szCs w:val="21"/>
          <w:highlight w:val="none"/>
        </w:rPr>
      </w:pPr>
      <w:r>
        <w:rPr>
          <w:rFonts w:hint="eastAsia" w:ascii="宋体" w:hAnsi="宋体" w:cs="宋体"/>
          <w:b/>
          <w:bCs/>
          <w:color w:val="auto"/>
          <w:spacing w:val="7"/>
          <w:szCs w:val="21"/>
          <w:highlight w:val="none"/>
        </w:rPr>
        <w:t xml:space="preserve">第十三条 </w:t>
      </w:r>
      <w:r>
        <w:rPr>
          <w:rFonts w:hint="eastAsia" w:ascii="宋体" w:hAnsi="宋体" w:cs="宋体"/>
          <w:color w:val="auto"/>
          <w:spacing w:val="7"/>
          <w:szCs w:val="21"/>
          <w:highlight w:val="none"/>
        </w:rPr>
        <w:t>合同生效及其他</w:t>
      </w:r>
    </w:p>
    <w:p>
      <w:pPr>
        <w:pStyle w:val="19"/>
        <w:spacing w:after="0" w:line="360" w:lineRule="auto"/>
        <w:ind w:firstLine="448" w:firstLineChars="200"/>
        <w:rPr>
          <w:rFonts w:ascii="宋体" w:hAnsi="宋体" w:cs="宋体"/>
          <w:color w:val="auto"/>
          <w:szCs w:val="21"/>
          <w:highlight w:val="none"/>
        </w:rPr>
      </w:pPr>
      <w:r>
        <w:rPr>
          <w:rFonts w:hint="eastAsia" w:ascii="宋体" w:hAnsi="宋体" w:cs="宋体"/>
          <w:color w:val="auto"/>
          <w:spacing w:val="7"/>
          <w:szCs w:val="21"/>
          <w:highlight w:val="none"/>
        </w:rPr>
        <w:t>1．合同经双方法定代表人（负责人）或授权代表签字并加盖单位公章后生效。</w:t>
      </w:r>
    </w:p>
    <w:p>
      <w:pPr>
        <w:pStyle w:val="19"/>
        <w:spacing w:after="0" w:line="360" w:lineRule="auto"/>
        <w:ind w:firstLine="460" w:firstLineChars="200"/>
        <w:rPr>
          <w:rFonts w:ascii="宋体" w:hAnsi="宋体" w:cs="宋体"/>
          <w:color w:val="auto"/>
          <w:spacing w:val="7"/>
          <w:szCs w:val="21"/>
          <w:highlight w:val="none"/>
        </w:rPr>
      </w:pPr>
      <w:r>
        <w:rPr>
          <w:rFonts w:hint="eastAsia" w:ascii="宋体" w:hAnsi="宋体" w:cs="宋体"/>
          <w:color w:val="auto"/>
          <w:spacing w:val="10"/>
          <w:szCs w:val="21"/>
          <w:highlight w:val="none"/>
        </w:rPr>
        <w:t>2．合同执行中涉及采购资金和采购内容修改或补充的，须经财政部门审批，并签订</w:t>
      </w:r>
      <w:r>
        <w:rPr>
          <w:rFonts w:hint="eastAsia" w:ascii="宋体" w:hAnsi="宋体" w:cs="宋体"/>
          <w:color w:val="auto"/>
          <w:spacing w:val="8"/>
          <w:szCs w:val="21"/>
          <w:highlight w:val="none"/>
        </w:rPr>
        <w:t>书面补充协议报财政部门备案，方可作为主合同不可分割的</w:t>
      </w:r>
      <w:r>
        <w:rPr>
          <w:rFonts w:hint="eastAsia" w:ascii="宋体" w:hAnsi="宋体" w:cs="宋体"/>
          <w:color w:val="auto"/>
          <w:spacing w:val="7"/>
          <w:szCs w:val="21"/>
          <w:highlight w:val="none"/>
        </w:rPr>
        <w:t>一部分。</w:t>
      </w:r>
    </w:p>
    <w:p>
      <w:pPr>
        <w:pStyle w:val="19"/>
        <w:spacing w:after="0" w:line="360" w:lineRule="auto"/>
        <w:ind w:firstLine="448" w:firstLineChars="200"/>
        <w:rPr>
          <w:rFonts w:ascii="宋体" w:hAnsi="宋体" w:cs="宋体"/>
          <w:color w:val="auto"/>
          <w:szCs w:val="21"/>
          <w:highlight w:val="none"/>
        </w:rPr>
      </w:pPr>
      <w:r>
        <w:rPr>
          <w:rFonts w:hint="eastAsia" w:ascii="宋体" w:hAnsi="宋体" w:cs="宋体"/>
          <w:color w:val="auto"/>
          <w:spacing w:val="7"/>
          <w:szCs w:val="21"/>
          <w:highlight w:val="none"/>
        </w:rPr>
        <w:t>3．本合同未尽事宜，遵照《中华人民共和国民法典</w:t>
      </w:r>
      <w:r>
        <w:rPr>
          <w:rFonts w:hint="eastAsia" w:ascii="宋体" w:hAnsi="宋体" w:cs="宋体"/>
          <w:color w:val="auto"/>
          <w:spacing w:val="6"/>
          <w:szCs w:val="21"/>
          <w:highlight w:val="none"/>
        </w:rPr>
        <w:t>》等有关法律法规有关条文执行。</w:t>
      </w:r>
    </w:p>
    <w:p>
      <w:pPr>
        <w:pStyle w:val="19"/>
        <w:spacing w:after="0" w:line="360" w:lineRule="auto"/>
        <w:ind w:firstLine="450" w:firstLineChars="200"/>
        <w:outlineLvl w:val="1"/>
        <w:rPr>
          <w:rFonts w:ascii="宋体" w:hAnsi="宋体" w:cs="宋体"/>
          <w:b/>
          <w:bCs/>
          <w:color w:val="auto"/>
          <w:szCs w:val="21"/>
          <w:highlight w:val="none"/>
        </w:rPr>
      </w:pPr>
      <w:r>
        <w:rPr>
          <w:rFonts w:hint="eastAsia" w:ascii="宋体" w:hAnsi="宋体" w:cs="宋体"/>
          <w:b/>
          <w:bCs/>
          <w:color w:val="auto"/>
          <w:spacing w:val="7"/>
          <w:szCs w:val="21"/>
          <w:highlight w:val="none"/>
        </w:rPr>
        <w:t xml:space="preserve">第十四条 </w:t>
      </w:r>
      <w:r>
        <w:rPr>
          <w:rFonts w:hint="eastAsia" w:ascii="宋体" w:hAnsi="宋体" w:cs="宋体"/>
          <w:color w:val="auto"/>
          <w:spacing w:val="7"/>
          <w:szCs w:val="21"/>
          <w:highlight w:val="none"/>
        </w:rPr>
        <w:t>合同的变更、终止与转让</w:t>
      </w:r>
    </w:p>
    <w:p>
      <w:pPr>
        <w:pStyle w:val="19"/>
        <w:spacing w:after="0" w:line="360" w:lineRule="auto"/>
        <w:ind w:firstLine="448" w:firstLineChars="200"/>
        <w:rPr>
          <w:rFonts w:ascii="宋体" w:hAnsi="宋体" w:cs="宋体"/>
          <w:color w:val="auto"/>
          <w:szCs w:val="21"/>
          <w:highlight w:val="none"/>
        </w:rPr>
      </w:pPr>
      <w:r>
        <w:rPr>
          <w:rFonts w:hint="eastAsia" w:ascii="宋体" w:hAnsi="宋体" w:cs="宋体"/>
          <w:color w:val="auto"/>
          <w:spacing w:val="7"/>
          <w:szCs w:val="21"/>
          <w:highlight w:val="none"/>
        </w:rPr>
        <w:t>1、本合同一经签订，甲乙双方不得擅自变更、中止或终止。</w:t>
      </w:r>
    </w:p>
    <w:p>
      <w:pPr>
        <w:pStyle w:val="19"/>
        <w:spacing w:after="0" w:line="360" w:lineRule="auto"/>
        <w:ind w:firstLine="452" w:firstLineChars="200"/>
        <w:rPr>
          <w:rFonts w:ascii="宋体" w:hAnsi="宋体" w:cs="宋体"/>
          <w:color w:val="auto"/>
          <w:szCs w:val="21"/>
          <w:highlight w:val="none"/>
        </w:rPr>
      </w:pPr>
      <w:r>
        <w:rPr>
          <w:rFonts w:hint="eastAsia" w:ascii="宋体" w:hAnsi="宋体" w:cs="宋体"/>
          <w:color w:val="auto"/>
          <w:spacing w:val="8"/>
          <w:szCs w:val="21"/>
          <w:highlight w:val="none"/>
        </w:rPr>
        <w:t>2、乙方不得擅自转让其应履行的合同义务。</w:t>
      </w:r>
    </w:p>
    <w:p>
      <w:pPr>
        <w:pStyle w:val="19"/>
        <w:spacing w:after="0" w:line="360" w:lineRule="auto"/>
        <w:ind w:firstLine="450" w:firstLineChars="200"/>
        <w:outlineLvl w:val="1"/>
        <w:rPr>
          <w:rFonts w:ascii="宋体" w:hAnsi="宋体" w:cs="宋体"/>
          <w:b/>
          <w:bCs/>
          <w:color w:val="auto"/>
          <w:szCs w:val="21"/>
          <w:highlight w:val="none"/>
        </w:rPr>
      </w:pPr>
      <w:r>
        <w:rPr>
          <w:rFonts w:hint="eastAsia" w:ascii="宋体" w:hAnsi="宋体" w:cs="宋体"/>
          <w:b/>
          <w:bCs/>
          <w:color w:val="auto"/>
          <w:spacing w:val="7"/>
          <w:szCs w:val="21"/>
          <w:highlight w:val="none"/>
        </w:rPr>
        <w:t xml:space="preserve">第十五条 </w:t>
      </w:r>
      <w:r>
        <w:rPr>
          <w:rFonts w:hint="eastAsia" w:ascii="宋体" w:hAnsi="宋体" w:cs="宋体"/>
          <w:color w:val="auto"/>
          <w:spacing w:val="7"/>
          <w:szCs w:val="21"/>
          <w:highlight w:val="none"/>
        </w:rPr>
        <w:t>签订本合同依据</w:t>
      </w:r>
    </w:p>
    <w:p>
      <w:pPr>
        <w:pStyle w:val="19"/>
        <w:spacing w:after="0" w:line="360" w:lineRule="auto"/>
        <w:ind w:firstLine="448" w:firstLineChars="200"/>
        <w:rPr>
          <w:rFonts w:ascii="宋体" w:hAnsi="宋体" w:cs="宋体"/>
          <w:color w:val="auto"/>
          <w:szCs w:val="21"/>
          <w:highlight w:val="none"/>
        </w:rPr>
      </w:pPr>
      <w:r>
        <w:rPr>
          <w:rFonts w:hint="eastAsia" w:ascii="宋体" w:hAnsi="宋体" w:cs="宋体"/>
          <w:color w:val="auto"/>
          <w:spacing w:val="7"/>
          <w:szCs w:val="21"/>
          <w:highlight w:val="none"/>
        </w:rPr>
        <w:t>（1）采购项目需求表</w:t>
      </w:r>
    </w:p>
    <w:p>
      <w:pPr>
        <w:pStyle w:val="19"/>
        <w:spacing w:after="0" w:line="360" w:lineRule="auto"/>
        <w:ind w:firstLine="440" w:firstLineChars="200"/>
        <w:rPr>
          <w:rFonts w:ascii="宋体" w:hAnsi="宋体" w:cs="宋体"/>
          <w:color w:val="auto"/>
          <w:szCs w:val="21"/>
          <w:highlight w:val="none"/>
        </w:rPr>
      </w:pPr>
      <w:r>
        <w:rPr>
          <w:rFonts w:hint="eastAsia" w:ascii="宋体" w:hAnsi="宋体" w:cs="宋体"/>
          <w:color w:val="auto"/>
          <w:spacing w:val="5"/>
          <w:szCs w:val="21"/>
          <w:highlight w:val="none"/>
        </w:rPr>
        <w:t>（2）响应函</w:t>
      </w:r>
    </w:p>
    <w:p>
      <w:pPr>
        <w:pStyle w:val="19"/>
        <w:spacing w:after="0" w:line="360" w:lineRule="auto"/>
        <w:ind w:firstLine="448" w:firstLineChars="200"/>
        <w:rPr>
          <w:rFonts w:ascii="宋体" w:hAnsi="宋体" w:cs="宋体"/>
          <w:color w:val="auto"/>
          <w:szCs w:val="21"/>
          <w:highlight w:val="none"/>
        </w:rPr>
      </w:pPr>
      <w:r>
        <w:rPr>
          <w:rFonts w:hint="eastAsia" w:ascii="宋体" w:hAnsi="宋体" w:cs="宋体"/>
          <w:color w:val="auto"/>
          <w:spacing w:val="7"/>
          <w:szCs w:val="21"/>
          <w:highlight w:val="none"/>
        </w:rPr>
        <w:t>（3）二次竞标报价表</w:t>
      </w:r>
    </w:p>
    <w:p>
      <w:pPr>
        <w:pStyle w:val="19"/>
        <w:spacing w:after="0" w:line="360" w:lineRule="auto"/>
        <w:ind w:firstLine="448" w:firstLineChars="200"/>
        <w:rPr>
          <w:rFonts w:ascii="宋体" w:hAnsi="宋体" w:cs="宋体"/>
          <w:color w:val="auto"/>
          <w:szCs w:val="21"/>
          <w:highlight w:val="none"/>
        </w:rPr>
      </w:pPr>
      <w:r>
        <w:rPr>
          <w:rFonts w:hint="eastAsia" w:ascii="宋体" w:hAnsi="宋体" w:cs="宋体"/>
          <w:color w:val="auto"/>
          <w:spacing w:val="7"/>
          <w:szCs w:val="21"/>
          <w:highlight w:val="none"/>
        </w:rPr>
        <w:t>（4）技术要求偏离表</w:t>
      </w:r>
    </w:p>
    <w:p>
      <w:pPr>
        <w:pStyle w:val="19"/>
        <w:spacing w:after="0" w:line="360" w:lineRule="auto"/>
        <w:ind w:firstLine="448" w:firstLineChars="200"/>
        <w:rPr>
          <w:rFonts w:ascii="宋体" w:hAnsi="宋体" w:cs="宋体"/>
          <w:color w:val="auto"/>
          <w:szCs w:val="21"/>
          <w:highlight w:val="none"/>
        </w:rPr>
      </w:pPr>
      <w:r>
        <w:rPr>
          <w:rFonts w:hint="eastAsia" w:ascii="宋体" w:hAnsi="宋体" w:cs="宋体"/>
          <w:color w:val="auto"/>
          <w:spacing w:val="7"/>
          <w:szCs w:val="21"/>
          <w:highlight w:val="none"/>
        </w:rPr>
        <w:t>（5）商务条款偏离表</w:t>
      </w:r>
    </w:p>
    <w:p>
      <w:pPr>
        <w:pStyle w:val="19"/>
        <w:spacing w:after="0" w:line="360" w:lineRule="auto"/>
        <w:ind w:firstLine="448" w:firstLineChars="200"/>
        <w:rPr>
          <w:rFonts w:ascii="宋体" w:hAnsi="宋体" w:cs="宋体"/>
          <w:color w:val="auto"/>
          <w:szCs w:val="21"/>
          <w:highlight w:val="none"/>
        </w:rPr>
      </w:pPr>
      <w:r>
        <w:rPr>
          <w:rFonts w:hint="eastAsia" w:ascii="宋体" w:hAnsi="宋体" w:cs="宋体"/>
          <w:color w:val="auto"/>
          <w:spacing w:val="7"/>
          <w:szCs w:val="21"/>
          <w:highlight w:val="none"/>
        </w:rPr>
        <w:t>（6）售后服务承诺书</w:t>
      </w:r>
    </w:p>
    <w:p>
      <w:pPr>
        <w:pStyle w:val="19"/>
        <w:spacing w:after="0" w:line="360" w:lineRule="auto"/>
        <w:ind w:firstLine="444" w:firstLineChars="200"/>
        <w:rPr>
          <w:rFonts w:ascii="宋体" w:hAnsi="宋体" w:cs="宋体"/>
          <w:color w:val="auto"/>
          <w:szCs w:val="21"/>
          <w:highlight w:val="none"/>
        </w:rPr>
      </w:pPr>
      <w:r>
        <w:rPr>
          <w:rFonts w:hint="eastAsia" w:ascii="宋体" w:hAnsi="宋体" w:cs="宋体"/>
          <w:color w:val="auto"/>
          <w:spacing w:val="6"/>
          <w:szCs w:val="21"/>
          <w:highlight w:val="none"/>
        </w:rPr>
        <w:t>（7）成交通知书</w:t>
      </w:r>
    </w:p>
    <w:p>
      <w:pPr>
        <w:pStyle w:val="19"/>
        <w:spacing w:after="0" w:line="360" w:lineRule="auto"/>
        <w:ind w:firstLine="460" w:firstLineChars="200"/>
        <w:rPr>
          <w:rFonts w:ascii="宋体" w:hAnsi="宋体" w:cs="宋体"/>
          <w:color w:val="auto"/>
          <w:szCs w:val="21"/>
          <w:highlight w:val="none"/>
        </w:rPr>
      </w:pPr>
      <w:r>
        <w:rPr>
          <w:rFonts w:hint="eastAsia" w:ascii="宋体" w:hAnsi="宋体" w:cs="宋体"/>
          <w:color w:val="auto"/>
          <w:spacing w:val="10"/>
          <w:szCs w:val="21"/>
          <w:highlight w:val="none"/>
        </w:rPr>
        <w:t>6、上述合同文件互相补充和解释。如果合同文件之间存在矛盾</w:t>
      </w:r>
      <w:r>
        <w:rPr>
          <w:rFonts w:hint="eastAsia" w:ascii="宋体" w:hAnsi="宋体" w:cs="宋体"/>
          <w:color w:val="auto"/>
          <w:spacing w:val="9"/>
          <w:szCs w:val="21"/>
          <w:highlight w:val="none"/>
        </w:rPr>
        <w:t>或者不一致之处，以上述文</w:t>
      </w:r>
      <w:r>
        <w:rPr>
          <w:rFonts w:hint="eastAsia" w:ascii="宋体" w:hAnsi="宋体" w:cs="宋体"/>
          <w:color w:val="auto"/>
          <w:spacing w:val="8"/>
          <w:szCs w:val="21"/>
          <w:highlight w:val="none"/>
        </w:rPr>
        <w:t>件的排列顺序在先者为准。</w:t>
      </w:r>
    </w:p>
    <w:p>
      <w:pPr>
        <w:pStyle w:val="19"/>
        <w:spacing w:after="0" w:line="360" w:lineRule="auto"/>
        <w:ind w:firstLine="454" w:firstLineChars="200"/>
        <w:rPr>
          <w:rFonts w:ascii="宋体" w:hAnsi="宋体" w:cs="宋体"/>
          <w:color w:val="auto"/>
          <w:szCs w:val="21"/>
          <w:highlight w:val="none"/>
        </w:rPr>
      </w:pPr>
      <w:r>
        <w:rPr>
          <w:rFonts w:hint="eastAsia" w:ascii="宋体" w:hAnsi="宋体" w:cs="宋体"/>
          <w:b/>
          <w:bCs/>
          <w:color w:val="auto"/>
          <w:spacing w:val="8"/>
          <w:szCs w:val="21"/>
          <w:highlight w:val="none"/>
        </w:rPr>
        <w:t>第十六条</w:t>
      </w:r>
      <w:r>
        <w:rPr>
          <w:rFonts w:hint="eastAsia" w:ascii="宋体" w:hAnsi="宋体" w:cs="宋体"/>
          <w:color w:val="auto"/>
          <w:spacing w:val="8"/>
          <w:szCs w:val="21"/>
          <w:highlight w:val="none"/>
        </w:rPr>
        <w:t xml:space="preserve">  本合同一式陆份，具有同等法律效力，</w:t>
      </w:r>
      <w:r>
        <w:rPr>
          <w:rFonts w:hint="eastAsia" w:ascii="宋体" w:hAnsi="宋体" w:cs="宋体"/>
          <w:color w:val="auto"/>
          <w:spacing w:val="-56"/>
          <w:szCs w:val="21"/>
          <w:highlight w:val="none"/>
        </w:rPr>
        <w:t xml:space="preserve"> </w:t>
      </w:r>
      <w:r>
        <w:rPr>
          <w:rFonts w:hint="eastAsia" w:ascii="宋体" w:hAnsi="宋体" w:cs="宋体"/>
          <w:color w:val="auto"/>
          <w:spacing w:val="8"/>
          <w:szCs w:val="21"/>
          <w:highlight w:val="none"/>
        </w:rPr>
        <w:t>甲方叁份，乙方贰份，代理机构壹份。</w:t>
      </w:r>
    </w:p>
    <w:p>
      <w:pPr>
        <w:spacing w:before="105"/>
        <w:rPr>
          <w:rFonts w:ascii="宋体" w:hAnsi="宋体" w:cs="宋体"/>
          <w:color w:val="auto"/>
          <w:szCs w:val="21"/>
          <w:highlight w:val="none"/>
        </w:rPr>
      </w:pPr>
    </w:p>
    <w:tbl>
      <w:tblPr>
        <w:tblStyle w:val="216"/>
        <w:tblW w:w="91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84"/>
        <w:gridCol w:w="45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4" w:hRule="atLeast"/>
        </w:trPr>
        <w:tc>
          <w:tcPr>
            <w:tcW w:w="4584" w:type="dxa"/>
          </w:tcPr>
          <w:p>
            <w:pPr>
              <w:pStyle w:val="215"/>
              <w:spacing w:line="360" w:lineRule="auto"/>
              <w:rPr>
                <w:color w:val="auto"/>
                <w:sz w:val="21"/>
                <w:szCs w:val="21"/>
                <w:highlight w:val="none"/>
              </w:rPr>
            </w:pPr>
            <w:r>
              <w:rPr>
                <w:rFonts w:hint="eastAsia"/>
                <w:color w:val="auto"/>
                <w:spacing w:val="6"/>
                <w:sz w:val="21"/>
                <w:szCs w:val="21"/>
                <w:highlight w:val="none"/>
              </w:rPr>
              <w:t>甲方</w:t>
            </w:r>
            <w:r>
              <w:rPr>
                <w:rFonts w:hint="eastAsia"/>
                <w:color w:val="auto"/>
                <w:spacing w:val="-6"/>
                <w:sz w:val="21"/>
                <w:szCs w:val="21"/>
                <w:highlight w:val="none"/>
              </w:rPr>
              <w:t>：（</w:t>
            </w:r>
            <w:r>
              <w:rPr>
                <w:rFonts w:hint="eastAsia"/>
                <w:color w:val="auto"/>
                <w:spacing w:val="6"/>
                <w:sz w:val="21"/>
                <w:szCs w:val="21"/>
                <w:highlight w:val="none"/>
              </w:rPr>
              <w:t>章）</w:t>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pStyle w:val="215"/>
              <w:spacing w:line="360" w:lineRule="auto"/>
              <w:rPr>
                <w:color w:val="auto"/>
                <w:sz w:val="21"/>
                <w:szCs w:val="21"/>
                <w:highlight w:val="none"/>
              </w:rPr>
            </w:pPr>
            <w:r>
              <w:rPr>
                <w:rFonts w:hint="eastAsia"/>
                <w:color w:val="auto"/>
                <w:spacing w:val="-2"/>
                <w:sz w:val="21"/>
                <w:szCs w:val="21"/>
                <w:highlight w:val="none"/>
              </w:rPr>
              <w:t>年</w:t>
            </w:r>
            <w:r>
              <w:rPr>
                <w:rFonts w:hint="eastAsia"/>
                <w:color w:val="auto"/>
                <w:spacing w:val="10"/>
                <w:sz w:val="21"/>
                <w:szCs w:val="21"/>
                <w:highlight w:val="none"/>
              </w:rPr>
              <w:t xml:space="preserve">   </w:t>
            </w:r>
            <w:r>
              <w:rPr>
                <w:rFonts w:hint="eastAsia"/>
                <w:color w:val="auto"/>
                <w:spacing w:val="-2"/>
                <w:sz w:val="21"/>
                <w:szCs w:val="21"/>
                <w:highlight w:val="none"/>
              </w:rPr>
              <w:t>月</w:t>
            </w:r>
            <w:r>
              <w:rPr>
                <w:rFonts w:hint="eastAsia"/>
                <w:color w:val="auto"/>
                <w:spacing w:val="20"/>
                <w:sz w:val="21"/>
                <w:szCs w:val="21"/>
                <w:highlight w:val="none"/>
              </w:rPr>
              <w:t xml:space="preserve">   </w:t>
            </w:r>
            <w:r>
              <w:rPr>
                <w:rFonts w:hint="eastAsia"/>
                <w:color w:val="auto"/>
                <w:spacing w:val="-2"/>
                <w:sz w:val="21"/>
                <w:szCs w:val="21"/>
                <w:highlight w:val="none"/>
              </w:rPr>
              <w:t>日</w:t>
            </w:r>
          </w:p>
        </w:tc>
        <w:tc>
          <w:tcPr>
            <w:tcW w:w="4585" w:type="dxa"/>
          </w:tcPr>
          <w:p>
            <w:pPr>
              <w:pStyle w:val="215"/>
              <w:spacing w:line="360" w:lineRule="auto"/>
              <w:rPr>
                <w:color w:val="auto"/>
                <w:sz w:val="21"/>
                <w:szCs w:val="21"/>
                <w:highlight w:val="none"/>
              </w:rPr>
            </w:pPr>
            <w:r>
              <w:rPr>
                <w:rFonts w:hint="eastAsia"/>
                <w:color w:val="auto"/>
                <w:spacing w:val="7"/>
                <w:sz w:val="21"/>
                <w:szCs w:val="21"/>
                <w:highlight w:val="none"/>
              </w:rPr>
              <w:t>乙方</w:t>
            </w:r>
            <w:r>
              <w:rPr>
                <w:rFonts w:hint="eastAsia"/>
                <w:color w:val="auto"/>
                <w:spacing w:val="-5"/>
                <w:sz w:val="21"/>
                <w:szCs w:val="21"/>
                <w:highlight w:val="none"/>
              </w:rPr>
              <w:t>：（</w:t>
            </w:r>
            <w:r>
              <w:rPr>
                <w:rFonts w:hint="eastAsia"/>
                <w:color w:val="auto"/>
                <w:spacing w:val="7"/>
                <w:sz w:val="21"/>
                <w:szCs w:val="21"/>
                <w:highlight w:val="none"/>
              </w:rPr>
              <w:t>章）</w:t>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pStyle w:val="215"/>
              <w:spacing w:line="360" w:lineRule="auto"/>
              <w:rPr>
                <w:color w:val="auto"/>
                <w:sz w:val="21"/>
                <w:szCs w:val="21"/>
                <w:highlight w:val="none"/>
              </w:rPr>
            </w:pPr>
            <w:r>
              <w:rPr>
                <w:rFonts w:hint="eastAsia"/>
                <w:color w:val="auto"/>
                <w:spacing w:val="-2"/>
                <w:sz w:val="21"/>
                <w:szCs w:val="21"/>
                <w:highlight w:val="none"/>
              </w:rPr>
              <w:t>年</w:t>
            </w:r>
            <w:r>
              <w:rPr>
                <w:rFonts w:hint="eastAsia"/>
                <w:color w:val="auto"/>
                <w:spacing w:val="10"/>
                <w:sz w:val="21"/>
                <w:szCs w:val="21"/>
                <w:highlight w:val="none"/>
              </w:rPr>
              <w:t xml:space="preserve">   </w:t>
            </w:r>
            <w:r>
              <w:rPr>
                <w:rFonts w:hint="eastAsia"/>
                <w:color w:val="auto"/>
                <w:spacing w:val="-2"/>
                <w:sz w:val="21"/>
                <w:szCs w:val="21"/>
                <w:highlight w:val="none"/>
              </w:rPr>
              <w:t>月</w:t>
            </w:r>
            <w:r>
              <w:rPr>
                <w:rFonts w:hint="eastAsia"/>
                <w:color w:val="auto"/>
                <w:spacing w:val="19"/>
                <w:sz w:val="21"/>
                <w:szCs w:val="21"/>
                <w:highlight w:val="none"/>
              </w:rPr>
              <w:t xml:space="preserve">   </w:t>
            </w:r>
            <w:r>
              <w:rPr>
                <w:rFonts w:hint="eastAsia"/>
                <w:color w:val="auto"/>
                <w:spacing w:val="-2"/>
                <w:sz w:val="21"/>
                <w:szCs w:val="21"/>
                <w:highlight w:val="none"/>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4584" w:type="dxa"/>
          </w:tcPr>
          <w:p>
            <w:pPr>
              <w:pStyle w:val="215"/>
              <w:spacing w:line="360" w:lineRule="auto"/>
              <w:rPr>
                <w:color w:val="auto"/>
                <w:sz w:val="21"/>
                <w:szCs w:val="21"/>
                <w:highlight w:val="none"/>
              </w:rPr>
            </w:pPr>
            <w:r>
              <w:rPr>
                <w:rFonts w:hint="eastAsia"/>
                <w:color w:val="auto"/>
                <w:spacing w:val="5"/>
                <w:sz w:val="21"/>
                <w:szCs w:val="21"/>
                <w:highlight w:val="none"/>
              </w:rPr>
              <w:t>单位地址：</w:t>
            </w:r>
          </w:p>
        </w:tc>
        <w:tc>
          <w:tcPr>
            <w:tcW w:w="4585" w:type="dxa"/>
          </w:tcPr>
          <w:p>
            <w:pPr>
              <w:pStyle w:val="215"/>
              <w:spacing w:line="360" w:lineRule="auto"/>
              <w:rPr>
                <w:color w:val="auto"/>
                <w:sz w:val="21"/>
                <w:szCs w:val="21"/>
                <w:highlight w:val="none"/>
              </w:rPr>
            </w:pPr>
            <w:r>
              <w:rPr>
                <w:rFonts w:hint="eastAsia"/>
                <w:color w:val="auto"/>
                <w:spacing w:val="5"/>
                <w:sz w:val="21"/>
                <w:szCs w:val="21"/>
                <w:highlight w:val="none"/>
              </w:rPr>
              <w:t>单位地址：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4584" w:type="dxa"/>
          </w:tcPr>
          <w:p>
            <w:pPr>
              <w:pStyle w:val="215"/>
              <w:spacing w:line="360" w:lineRule="auto"/>
              <w:rPr>
                <w:color w:val="auto"/>
                <w:sz w:val="21"/>
                <w:szCs w:val="21"/>
                <w:highlight w:val="none"/>
              </w:rPr>
            </w:pPr>
            <w:r>
              <w:rPr>
                <w:rFonts w:hint="eastAsia"/>
                <w:color w:val="auto"/>
                <w:spacing w:val="6"/>
                <w:sz w:val="21"/>
                <w:szCs w:val="21"/>
                <w:highlight w:val="none"/>
              </w:rPr>
              <w:t>法定代表人：</w:t>
            </w:r>
          </w:p>
        </w:tc>
        <w:tc>
          <w:tcPr>
            <w:tcW w:w="4585" w:type="dxa"/>
          </w:tcPr>
          <w:p>
            <w:pPr>
              <w:pStyle w:val="215"/>
              <w:spacing w:line="360" w:lineRule="auto"/>
              <w:rPr>
                <w:color w:val="auto"/>
                <w:sz w:val="21"/>
                <w:szCs w:val="21"/>
                <w:highlight w:val="none"/>
              </w:rPr>
            </w:pPr>
            <w:r>
              <w:rPr>
                <w:rFonts w:hint="eastAsia"/>
                <w:color w:val="auto"/>
                <w:spacing w:val="6"/>
                <w:sz w:val="21"/>
                <w:szCs w:val="21"/>
                <w:highlight w:val="none"/>
              </w:rPr>
              <w:t>法定代表人：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4584" w:type="dxa"/>
          </w:tcPr>
          <w:p>
            <w:pPr>
              <w:pStyle w:val="215"/>
              <w:spacing w:line="360" w:lineRule="auto"/>
              <w:rPr>
                <w:color w:val="auto"/>
                <w:sz w:val="21"/>
                <w:szCs w:val="21"/>
                <w:highlight w:val="none"/>
              </w:rPr>
            </w:pPr>
            <w:r>
              <w:rPr>
                <w:rFonts w:hint="eastAsia"/>
                <w:color w:val="auto"/>
                <w:spacing w:val="6"/>
                <w:sz w:val="21"/>
                <w:szCs w:val="21"/>
                <w:highlight w:val="none"/>
              </w:rPr>
              <w:t>委托代理人：</w:t>
            </w:r>
          </w:p>
        </w:tc>
        <w:tc>
          <w:tcPr>
            <w:tcW w:w="4585" w:type="dxa"/>
          </w:tcPr>
          <w:p>
            <w:pPr>
              <w:pStyle w:val="215"/>
              <w:spacing w:line="360" w:lineRule="auto"/>
              <w:rPr>
                <w:color w:val="auto"/>
                <w:sz w:val="21"/>
                <w:szCs w:val="21"/>
                <w:highlight w:val="none"/>
              </w:rPr>
            </w:pPr>
            <w:r>
              <w:rPr>
                <w:rFonts w:hint="eastAsia"/>
                <w:color w:val="auto"/>
                <w:spacing w:val="6"/>
                <w:sz w:val="21"/>
                <w:szCs w:val="21"/>
                <w:highlight w:val="none"/>
              </w:rPr>
              <w:t>委托代理人：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4584" w:type="dxa"/>
          </w:tcPr>
          <w:p>
            <w:pPr>
              <w:pStyle w:val="215"/>
              <w:spacing w:line="360" w:lineRule="auto"/>
              <w:rPr>
                <w:color w:val="auto"/>
                <w:sz w:val="21"/>
                <w:szCs w:val="21"/>
                <w:highlight w:val="none"/>
              </w:rPr>
            </w:pPr>
            <w:r>
              <w:rPr>
                <w:rFonts w:hint="eastAsia"/>
                <w:color w:val="auto"/>
                <w:spacing w:val="-5"/>
                <w:sz w:val="21"/>
                <w:szCs w:val="21"/>
                <w:highlight w:val="none"/>
              </w:rPr>
              <w:t>电话：</w:t>
            </w:r>
          </w:p>
        </w:tc>
        <w:tc>
          <w:tcPr>
            <w:tcW w:w="4585" w:type="dxa"/>
          </w:tcPr>
          <w:p>
            <w:pPr>
              <w:pStyle w:val="215"/>
              <w:spacing w:line="360" w:lineRule="auto"/>
              <w:rPr>
                <w:color w:val="auto"/>
                <w:sz w:val="21"/>
                <w:szCs w:val="21"/>
                <w:highlight w:val="none"/>
              </w:rPr>
            </w:pPr>
            <w:r>
              <w:rPr>
                <w:rFonts w:hint="eastAsia"/>
                <w:color w:val="auto"/>
                <w:spacing w:val="-5"/>
                <w:sz w:val="21"/>
                <w:szCs w:val="21"/>
                <w:highlight w:val="none"/>
              </w:rPr>
              <w:t>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4584" w:type="dxa"/>
          </w:tcPr>
          <w:p>
            <w:pPr>
              <w:pStyle w:val="215"/>
              <w:spacing w:line="360" w:lineRule="auto"/>
              <w:rPr>
                <w:color w:val="auto"/>
                <w:sz w:val="21"/>
                <w:szCs w:val="21"/>
                <w:highlight w:val="none"/>
              </w:rPr>
            </w:pPr>
            <w:r>
              <w:rPr>
                <w:rFonts w:hint="eastAsia"/>
                <w:color w:val="auto"/>
                <w:spacing w:val="5"/>
                <w:sz w:val="21"/>
                <w:szCs w:val="21"/>
                <w:highlight w:val="none"/>
              </w:rPr>
              <w:t>开户银行：</w:t>
            </w:r>
          </w:p>
        </w:tc>
        <w:tc>
          <w:tcPr>
            <w:tcW w:w="4585" w:type="dxa"/>
          </w:tcPr>
          <w:p>
            <w:pPr>
              <w:pStyle w:val="215"/>
              <w:spacing w:line="360" w:lineRule="auto"/>
              <w:rPr>
                <w:color w:val="auto"/>
                <w:sz w:val="21"/>
                <w:szCs w:val="21"/>
                <w:highlight w:val="none"/>
              </w:rPr>
            </w:pPr>
            <w:r>
              <w:rPr>
                <w:rFonts w:hint="eastAsia"/>
                <w:color w:val="auto"/>
                <w:spacing w:val="5"/>
                <w:sz w:val="21"/>
                <w:szCs w:val="21"/>
                <w:highlight w:val="none"/>
              </w:rPr>
              <w:t>开户银行：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4584" w:type="dxa"/>
          </w:tcPr>
          <w:p>
            <w:pPr>
              <w:pStyle w:val="215"/>
              <w:spacing w:line="360" w:lineRule="auto"/>
              <w:rPr>
                <w:color w:val="auto"/>
                <w:sz w:val="21"/>
                <w:szCs w:val="21"/>
                <w:highlight w:val="none"/>
              </w:rPr>
            </w:pPr>
            <w:r>
              <w:rPr>
                <w:rFonts w:hint="eastAsia"/>
                <w:color w:val="auto"/>
                <w:spacing w:val="2"/>
                <w:sz w:val="21"/>
                <w:szCs w:val="21"/>
                <w:highlight w:val="none"/>
              </w:rPr>
              <w:t>账号：</w:t>
            </w:r>
          </w:p>
        </w:tc>
        <w:tc>
          <w:tcPr>
            <w:tcW w:w="4585" w:type="dxa"/>
          </w:tcPr>
          <w:p>
            <w:pPr>
              <w:pStyle w:val="215"/>
              <w:spacing w:line="360" w:lineRule="auto"/>
              <w:rPr>
                <w:color w:val="auto"/>
                <w:sz w:val="21"/>
                <w:szCs w:val="21"/>
                <w:highlight w:val="none"/>
              </w:rPr>
            </w:pPr>
            <w:r>
              <w:rPr>
                <w:rFonts w:hint="eastAsia"/>
                <w:color w:val="auto"/>
                <w:spacing w:val="2"/>
                <w:sz w:val="21"/>
                <w:szCs w:val="21"/>
                <w:highlight w:val="none"/>
              </w:rPr>
              <w:t>账号：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4584" w:type="dxa"/>
          </w:tcPr>
          <w:p>
            <w:pPr>
              <w:pStyle w:val="215"/>
              <w:spacing w:line="360" w:lineRule="auto"/>
              <w:rPr>
                <w:color w:val="auto"/>
                <w:sz w:val="21"/>
                <w:szCs w:val="21"/>
                <w:highlight w:val="none"/>
              </w:rPr>
            </w:pPr>
            <w:r>
              <w:rPr>
                <w:rFonts w:hint="eastAsia"/>
                <w:color w:val="auto"/>
                <w:spacing w:val="2"/>
                <w:sz w:val="21"/>
                <w:szCs w:val="21"/>
                <w:highlight w:val="none"/>
              </w:rPr>
              <w:t>邮政编码：</w:t>
            </w:r>
          </w:p>
        </w:tc>
        <w:tc>
          <w:tcPr>
            <w:tcW w:w="4585" w:type="dxa"/>
          </w:tcPr>
          <w:p>
            <w:pPr>
              <w:pStyle w:val="215"/>
              <w:spacing w:line="360" w:lineRule="auto"/>
              <w:rPr>
                <w:color w:val="auto"/>
                <w:sz w:val="21"/>
                <w:szCs w:val="21"/>
                <w:highlight w:val="none"/>
              </w:rPr>
            </w:pPr>
            <w:r>
              <w:rPr>
                <w:rFonts w:hint="eastAsia"/>
                <w:color w:val="auto"/>
                <w:spacing w:val="2"/>
                <w:sz w:val="21"/>
                <w:szCs w:val="21"/>
                <w:highlight w:val="none"/>
              </w:rPr>
              <w:t>邮政编码：</w:t>
            </w:r>
          </w:p>
        </w:tc>
      </w:tr>
    </w:tbl>
    <w:p>
      <w:pPr>
        <w:rPr>
          <w:rFonts w:ascii="宋体" w:hAnsi="宋体" w:cs="宋体"/>
          <w:color w:val="auto"/>
          <w:szCs w:val="21"/>
          <w:highlight w:val="none"/>
        </w:rPr>
      </w:pPr>
    </w:p>
    <w:p>
      <w:pPr>
        <w:rPr>
          <w:rFonts w:ascii="宋体" w:hAnsi="宋体" w:cs="宋体"/>
          <w:color w:val="auto"/>
          <w:szCs w:val="21"/>
          <w:highlight w:val="none"/>
        </w:rPr>
      </w:pPr>
    </w:p>
    <w:p>
      <w:pPr>
        <w:spacing w:line="440" w:lineRule="exact"/>
        <w:rPr>
          <w:rFonts w:ascii="宋体" w:hAnsi="宋体" w:cs="宋体"/>
          <w:color w:val="auto"/>
          <w:szCs w:val="21"/>
          <w:highlight w:val="none"/>
        </w:rPr>
      </w:pPr>
    </w:p>
    <w:p>
      <w:pPr>
        <w:pStyle w:val="4"/>
        <w:spacing w:line="440" w:lineRule="exact"/>
        <w:jc w:val="center"/>
        <w:rPr>
          <w:rFonts w:ascii="宋体" w:hAnsi="宋体" w:cs="宋体"/>
          <w:color w:val="auto"/>
          <w:sz w:val="32"/>
          <w:szCs w:val="32"/>
          <w:highlight w:val="none"/>
        </w:rPr>
      </w:pPr>
      <w:r>
        <w:rPr>
          <w:rFonts w:hint="eastAsia" w:ascii="宋体" w:hAnsi="宋体" w:cs="宋体"/>
          <w:color w:val="auto"/>
          <w:sz w:val="24"/>
          <w:highlight w:val="none"/>
        </w:rPr>
        <w:br w:type="page"/>
      </w:r>
      <w:bookmarkStart w:id="71" w:name="_Toc88747296"/>
      <w:r>
        <w:rPr>
          <w:rFonts w:hint="eastAsia" w:ascii="宋体" w:hAnsi="宋体" w:cs="宋体"/>
          <w:color w:val="auto"/>
          <w:sz w:val="32"/>
          <w:szCs w:val="32"/>
          <w:highlight w:val="none"/>
        </w:rPr>
        <w:t>第六章 评审方法和评审标准</w:t>
      </w:r>
      <w:bookmarkEnd w:id="71"/>
    </w:p>
    <w:p>
      <w:pPr>
        <w:pStyle w:val="5"/>
        <w:spacing w:before="0" w:after="0" w:line="440" w:lineRule="exact"/>
        <w:jc w:val="center"/>
        <w:rPr>
          <w:rFonts w:ascii="宋体" w:hAnsi="宋体" w:eastAsia="宋体" w:cs="宋体"/>
          <w:color w:val="auto"/>
          <w:kern w:val="0"/>
          <w:sz w:val="28"/>
          <w:szCs w:val="28"/>
          <w:highlight w:val="none"/>
        </w:rPr>
      </w:pPr>
      <w:bookmarkStart w:id="72" w:name="OLE_LINK75"/>
      <w:r>
        <w:rPr>
          <w:rFonts w:hint="eastAsia" w:ascii="宋体" w:hAnsi="宋体" w:eastAsia="宋体" w:cs="宋体"/>
          <w:color w:val="auto"/>
          <w:kern w:val="0"/>
          <w:sz w:val="28"/>
          <w:szCs w:val="28"/>
          <w:highlight w:val="none"/>
        </w:rPr>
        <w:t>标项一（广西农药数字监管平台运维服务）适用</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一、评标原则</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(一)“磋商小组”构成：本采购项目的“磋商小组”分别由依法组成的评审专家、采购人代表共</w:t>
      </w:r>
      <w:r>
        <w:rPr>
          <w:rFonts w:hint="eastAsia" w:ascii="宋体" w:hAnsi="宋体" w:cs="宋体"/>
          <w:color w:val="auto"/>
          <w:szCs w:val="21"/>
          <w:highlight w:val="none"/>
          <w:u w:val="single"/>
        </w:rPr>
        <w:t>三</w:t>
      </w:r>
      <w:r>
        <w:rPr>
          <w:rFonts w:hint="eastAsia" w:ascii="宋体" w:hAnsi="宋体" w:cs="宋体"/>
          <w:color w:val="auto"/>
          <w:szCs w:val="21"/>
          <w:highlight w:val="none"/>
        </w:rPr>
        <w:t>人以上单数构成，其中评审专家人数不少于成员总数的三分之二。</w:t>
      </w:r>
    </w:p>
    <w:p>
      <w:pPr>
        <w:pStyle w:val="23"/>
        <w:spacing w:line="440" w:lineRule="exact"/>
        <w:ind w:firstLine="420"/>
        <w:rPr>
          <w:rFonts w:hAnsi="宋体" w:cs="宋体"/>
          <w:color w:val="auto"/>
          <w:kern w:val="2"/>
          <w:sz w:val="21"/>
          <w:highlight w:val="none"/>
        </w:rPr>
      </w:pPr>
      <w:r>
        <w:rPr>
          <w:rFonts w:hint="eastAsia" w:hAnsi="宋体" w:cs="宋体"/>
          <w:color w:val="auto"/>
          <w:kern w:val="2"/>
          <w:sz w:val="21"/>
          <w:highlight w:val="none"/>
        </w:rPr>
        <w:t>(二)评审依据：磋商小组将以磋商响应文件为评审依据，对供应商的报价、技术服务方案、商务等方面内容按百分制打分。（计分方法按四舍五入取至百分位）。</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（三）评标方式：以封闭方式进行。评审全过程中不允许供应商与“磋商小组”之间有可能影响到评审结果公正性的私下会面与谈话，以体现公平、公正的基本原则。</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（四）采购人和采购代理机构、评标委员会成员要严格遵守政府采购相关法律制度，依法履行各自职责，公正、客观、审慎地组织和参与评审工作。</w:t>
      </w:r>
    </w:p>
    <w:p>
      <w:pPr>
        <w:snapToGrid w:val="0"/>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二、评标方法</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对进入详评的，采用百分制综合评分法，计分办法（按四舍五入取至百分位）：</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1、价格分………………………………………………………………………………………10分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一、政府采购政策扣除</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按照《政府采购促进中小企业发展管理办法》（财库〔2020〕46号）的规定，供应商在其响应文件中按照格式要求提供《中小企业声明函》，且服务全部由小微企业承接，对其最后报价给予10%（范围为10%-20%）的扣除，扣除后的价格为评审价，即评审价=竞标报价×（1-10%）。</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范围为4%-6%）的扣除，用扣除后的价格参加评审，扣除后的价格为评审价，即评审价=竞标报价×（1-4%）。</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除上述情况外，评审报价=竞标报价。</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满足采购文件要求且评审报价最低的评审报价为评标基准价，其价格分为满分。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二、价格分（满分10分）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（1）满足磋商文件要求且评审报价最低的有效供应商的评审报价为评标基准价，其报价分为满分。其他供应商的价格分统一按照下列公式计算：某有效供应商的价格分=（评标基准价／某有效供应商评审报价）×10 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（2）如有价格扣除时，竞标报价分计算时均按为供应商的实际竞标报价进行价格扣除后的价格进行计算，最终成交金额＝竞标报价。</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2、技术分………………………………………………………………………………………</w:t>
      </w:r>
      <w:r>
        <w:rPr>
          <w:rFonts w:hint="eastAsia" w:hAnsi="宋体" w:cs="宋体"/>
          <w:b/>
          <w:bCs/>
          <w:color w:val="auto"/>
          <w:sz w:val="21"/>
          <w:highlight w:val="none"/>
          <w:lang w:val="en-US" w:eastAsia="zh-CN"/>
        </w:rPr>
        <w:t>84</w:t>
      </w:r>
      <w:r>
        <w:rPr>
          <w:rFonts w:hint="eastAsia" w:hAnsi="宋体" w:cs="宋体"/>
          <w:b/>
          <w:bCs/>
          <w:color w:val="auto"/>
          <w:sz w:val="21"/>
          <w:highlight w:val="none"/>
        </w:rPr>
        <w:t>分</w:t>
      </w:r>
    </w:p>
    <w:p>
      <w:pPr>
        <w:pStyle w:val="23"/>
        <w:spacing w:line="440" w:lineRule="exact"/>
        <w:ind w:firstLine="420"/>
        <w:rPr>
          <w:rFonts w:hint="eastAsia" w:hAnsi="宋体" w:cs="宋体"/>
          <w:b/>
          <w:bCs/>
          <w:color w:val="auto"/>
          <w:sz w:val="21"/>
          <w:highlight w:val="none"/>
        </w:rPr>
      </w:pPr>
      <w:r>
        <w:rPr>
          <w:rFonts w:hint="eastAsia" w:hAnsi="宋体" w:cs="宋体"/>
          <w:b/>
          <w:bCs/>
          <w:color w:val="auto"/>
          <w:sz w:val="21"/>
          <w:highlight w:val="none"/>
        </w:rPr>
        <w:t>(1)服务总体方案（满分</w:t>
      </w:r>
      <w:r>
        <w:rPr>
          <w:rFonts w:hint="eastAsia" w:hAnsi="宋体" w:cs="宋体"/>
          <w:b/>
          <w:bCs/>
          <w:color w:val="auto"/>
          <w:sz w:val="21"/>
          <w:highlight w:val="none"/>
          <w:lang w:val="en-US" w:eastAsia="zh-CN"/>
        </w:rPr>
        <w:t>30</w:t>
      </w:r>
      <w:r>
        <w:rPr>
          <w:rFonts w:hint="eastAsia" w:hAnsi="宋体" w:cs="宋体"/>
          <w:b/>
          <w:bCs/>
          <w:color w:val="auto"/>
          <w:sz w:val="21"/>
          <w:highlight w:val="none"/>
        </w:rPr>
        <w:t>分）</w:t>
      </w:r>
    </w:p>
    <w:p>
      <w:pPr>
        <w:pStyle w:val="215"/>
        <w:spacing w:line="440" w:lineRule="exact"/>
        <w:ind w:firstLine="445"/>
        <w:rPr>
          <w:rFonts w:hint="eastAsia" w:hAnsi="宋体" w:cs="宋体"/>
          <w:b w:val="0"/>
          <w:bCs w:val="0"/>
          <w:color w:val="auto"/>
          <w:sz w:val="21"/>
          <w:highlight w:val="none"/>
        </w:rPr>
      </w:pPr>
      <w:r>
        <w:rPr>
          <w:rFonts w:hint="eastAsia" w:hAnsi="宋体" w:cs="宋体"/>
          <w:b w:val="0"/>
          <w:bCs w:val="0"/>
          <w:color w:val="auto"/>
          <w:sz w:val="21"/>
          <w:highlight w:val="none"/>
        </w:rPr>
        <w:t>由评标小组成员根据供应商提供的服务总体方案确定各供应商所属档次并打分。</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一档（0分）：未提供服务总体方案或提供的服务总体方案与本项目不相符；</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二档（</w:t>
      </w:r>
      <w:r>
        <w:rPr>
          <w:rFonts w:hint="eastAsia" w:hAnsi="宋体" w:cs="宋体"/>
          <w:b w:val="0"/>
          <w:bCs w:val="0"/>
          <w:color w:val="auto"/>
          <w:sz w:val="21"/>
          <w:highlight w:val="none"/>
          <w:lang w:eastAsia="zh-CN"/>
        </w:rPr>
        <w:t>1</w:t>
      </w:r>
      <w:r>
        <w:rPr>
          <w:rFonts w:hint="eastAsia" w:hAnsi="宋体" w:cs="宋体"/>
          <w:b w:val="0"/>
          <w:bCs w:val="0"/>
          <w:color w:val="auto"/>
          <w:sz w:val="21"/>
          <w:highlight w:val="none"/>
          <w:lang w:val="en-US" w:eastAsia="zh-CN"/>
        </w:rPr>
        <w:t>0</w:t>
      </w:r>
      <w:r>
        <w:rPr>
          <w:rFonts w:hint="eastAsia" w:hAnsi="宋体" w:cs="宋体"/>
          <w:b w:val="0"/>
          <w:bCs w:val="0"/>
          <w:color w:val="auto"/>
          <w:sz w:val="21"/>
          <w:highlight w:val="none"/>
        </w:rPr>
        <w:t>分）：对管理系统有基本的了解，服务总体方案的总体服务内容不够全面，方案总体逻辑结构不够清晰；</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三档（</w:t>
      </w:r>
      <w:r>
        <w:rPr>
          <w:rFonts w:hint="eastAsia" w:hAnsi="宋体" w:cs="宋体"/>
          <w:b w:val="0"/>
          <w:bCs w:val="0"/>
          <w:color w:val="auto"/>
          <w:sz w:val="21"/>
          <w:highlight w:val="none"/>
          <w:lang w:eastAsia="zh-CN"/>
        </w:rPr>
        <w:t>1</w:t>
      </w:r>
      <w:r>
        <w:rPr>
          <w:rFonts w:hint="eastAsia" w:hAnsi="宋体" w:cs="宋体"/>
          <w:b w:val="0"/>
          <w:bCs w:val="0"/>
          <w:color w:val="auto"/>
          <w:sz w:val="21"/>
          <w:highlight w:val="none"/>
          <w:lang w:val="en-US" w:eastAsia="zh-CN"/>
        </w:rPr>
        <w:t>5</w:t>
      </w:r>
      <w:r>
        <w:rPr>
          <w:rFonts w:hint="eastAsia" w:hAnsi="宋体" w:cs="宋体"/>
          <w:b w:val="0"/>
          <w:bCs w:val="0"/>
          <w:color w:val="auto"/>
          <w:sz w:val="21"/>
          <w:highlight w:val="none"/>
        </w:rPr>
        <w:t>分）：对本项目的管理系统有一定的了解，提供的服务总体方案维护思路、难点、特点、关键点描述较清晰，满足项目技术要求；</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四档（</w:t>
      </w:r>
      <w:r>
        <w:rPr>
          <w:rFonts w:hint="eastAsia" w:hAnsi="宋体" w:cs="宋体"/>
          <w:b w:val="0"/>
          <w:bCs w:val="0"/>
          <w:color w:val="auto"/>
          <w:sz w:val="21"/>
          <w:highlight w:val="none"/>
          <w:lang w:eastAsia="zh-CN"/>
        </w:rPr>
        <w:t>2</w:t>
      </w:r>
      <w:r>
        <w:rPr>
          <w:rFonts w:hint="eastAsia" w:hAnsi="宋体" w:cs="宋体"/>
          <w:b w:val="0"/>
          <w:bCs w:val="0"/>
          <w:color w:val="auto"/>
          <w:sz w:val="21"/>
          <w:highlight w:val="none"/>
          <w:lang w:val="en-US" w:eastAsia="zh-CN"/>
        </w:rPr>
        <w:t>5</w:t>
      </w:r>
      <w:r>
        <w:rPr>
          <w:rFonts w:hint="eastAsia" w:hAnsi="宋体" w:cs="宋体"/>
          <w:b w:val="0"/>
          <w:bCs w:val="0"/>
          <w:color w:val="auto"/>
          <w:sz w:val="21"/>
          <w:highlight w:val="none"/>
        </w:rPr>
        <w:t>分）：对本项目的管理系统的特点了解较全面，提供的服务总体方案维护思路、难点、特点、关键点描述清晰，提出的服务技术方案针对性强。承诺的响应时间、重要时期保障服务、例行检查方案、保障服务方案内容详实，定期预防性检查、故障处理措施可操作性强；</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五档（</w:t>
      </w:r>
      <w:r>
        <w:rPr>
          <w:rFonts w:hint="eastAsia" w:hAnsi="宋体" w:cs="宋体"/>
          <w:b w:val="0"/>
          <w:bCs w:val="0"/>
          <w:color w:val="auto"/>
          <w:sz w:val="21"/>
          <w:highlight w:val="none"/>
          <w:lang w:val="en-US" w:eastAsia="zh-CN"/>
        </w:rPr>
        <w:t>30</w:t>
      </w:r>
      <w:r>
        <w:rPr>
          <w:rFonts w:hint="eastAsia" w:hAnsi="宋体" w:cs="宋体"/>
          <w:b w:val="0"/>
          <w:bCs w:val="0"/>
          <w:color w:val="auto"/>
          <w:sz w:val="21"/>
          <w:highlight w:val="none"/>
        </w:rPr>
        <w:t>分）：满足四档的基础上，提供的服务技术方案详细完善，管理流程清晰到位，有符合需求特点的服务监督及保障机制。承诺的响应时间、安全评估服务、例行检查方案情况等内容详细，保障服务方案能有效保障项目的整体实施；制定有定期预防性检查、故障处理措施，有针对重要时期保障措施、人员保障预案、资源协调预案，与服务对象的工作衔接能有效的实施维护工作。</w:t>
      </w:r>
    </w:p>
    <w:p>
      <w:pPr>
        <w:pStyle w:val="23"/>
        <w:spacing w:line="440" w:lineRule="exact"/>
        <w:ind w:firstLine="420"/>
        <w:rPr>
          <w:rFonts w:hint="eastAsia" w:hAnsi="宋体" w:cs="宋体"/>
          <w:b/>
          <w:bCs/>
          <w:color w:val="auto"/>
          <w:sz w:val="21"/>
          <w:highlight w:val="none"/>
        </w:rPr>
      </w:pPr>
      <w:r>
        <w:rPr>
          <w:rFonts w:hint="eastAsia" w:hAnsi="宋体" w:cs="宋体"/>
          <w:b/>
          <w:bCs/>
          <w:color w:val="auto"/>
          <w:sz w:val="21"/>
          <w:highlight w:val="none"/>
        </w:rPr>
        <w:t>(2)运维服务方案分（满分</w:t>
      </w:r>
      <w:r>
        <w:rPr>
          <w:rFonts w:hint="eastAsia" w:hAnsi="宋体" w:cs="宋体"/>
          <w:b/>
          <w:bCs/>
          <w:color w:val="auto"/>
          <w:sz w:val="21"/>
          <w:highlight w:val="none"/>
          <w:lang w:val="en-US" w:eastAsia="zh-CN"/>
        </w:rPr>
        <w:t>30</w:t>
      </w:r>
      <w:r>
        <w:rPr>
          <w:rFonts w:hint="eastAsia" w:hAnsi="宋体" w:cs="宋体"/>
          <w:b/>
          <w:bCs/>
          <w:color w:val="auto"/>
          <w:sz w:val="21"/>
          <w:highlight w:val="none"/>
        </w:rPr>
        <w:t>分）</w:t>
      </w:r>
    </w:p>
    <w:p>
      <w:pPr>
        <w:pStyle w:val="215"/>
        <w:spacing w:line="440" w:lineRule="exact"/>
        <w:ind w:firstLine="445"/>
        <w:rPr>
          <w:rFonts w:hint="eastAsia" w:hAnsi="宋体" w:cs="宋体"/>
          <w:b w:val="0"/>
          <w:bCs w:val="0"/>
          <w:color w:val="auto"/>
          <w:sz w:val="21"/>
          <w:highlight w:val="none"/>
          <w:lang w:eastAsia="zh-CN"/>
        </w:rPr>
      </w:pPr>
      <w:r>
        <w:rPr>
          <w:rFonts w:hint="eastAsia" w:hAnsi="宋体" w:cs="宋体"/>
          <w:b w:val="0"/>
          <w:bCs w:val="0"/>
          <w:color w:val="auto"/>
          <w:sz w:val="21"/>
          <w:highlight w:val="none"/>
        </w:rPr>
        <w:t>由评标小组成员根据供应商提供的运维服务方案确定各供应商所属档次并打分</w:t>
      </w:r>
      <w:r>
        <w:rPr>
          <w:rFonts w:hint="eastAsia" w:cs="宋体"/>
          <w:b w:val="0"/>
          <w:bCs w:val="0"/>
          <w:color w:val="auto"/>
          <w:sz w:val="21"/>
          <w:highlight w:val="none"/>
          <w:lang w:eastAsia="zh-CN"/>
        </w:rPr>
        <w:t>。</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一档（0分）：未提供运维服务方案或提供的方案与本项目不相符；</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二档（</w:t>
      </w:r>
      <w:r>
        <w:rPr>
          <w:rFonts w:hint="eastAsia" w:hAnsi="宋体" w:cs="宋体"/>
          <w:b w:val="0"/>
          <w:bCs w:val="0"/>
          <w:color w:val="auto"/>
          <w:sz w:val="21"/>
          <w:highlight w:val="none"/>
          <w:lang w:eastAsia="zh-CN"/>
        </w:rPr>
        <w:t>1</w:t>
      </w:r>
      <w:r>
        <w:rPr>
          <w:rFonts w:hint="eastAsia" w:hAnsi="宋体" w:cs="宋体"/>
          <w:b w:val="0"/>
          <w:bCs w:val="0"/>
          <w:color w:val="auto"/>
          <w:sz w:val="21"/>
          <w:highlight w:val="none"/>
          <w:lang w:val="en-US" w:eastAsia="zh-CN"/>
        </w:rPr>
        <w:t>0</w:t>
      </w:r>
      <w:r>
        <w:rPr>
          <w:rFonts w:hint="eastAsia" w:hAnsi="宋体" w:cs="宋体"/>
          <w:b w:val="0"/>
          <w:bCs w:val="0"/>
          <w:color w:val="auto"/>
          <w:sz w:val="21"/>
          <w:highlight w:val="none"/>
        </w:rPr>
        <w:t>分）：运维服务方案对于开发语言选择、服务器部署、与相关联系统接口数据流设计等系统运维工作内容有合理的叙述，服务内容符合采购需求；</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三档（1</w:t>
      </w:r>
      <w:r>
        <w:rPr>
          <w:rFonts w:hint="eastAsia" w:hAnsi="宋体" w:cs="宋体"/>
          <w:b w:val="0"/>
          <w:bCs w:val="0"/>
          <w:color w:val="auto"/>
          <w:sz w:val="21"/>
          <w:highlight w:val="none"/>
          <w:lang w:eastAsia="zh-CN"/>
        </w:rPr>
        <w:t>5</w:t>
      </w:r>
      <w:r>
        <w:rPr>
          <w:rFonts w:hint="eastAsia" w:hAnsi="宋体" w:cs="宋体"/>
          <w:b w:val="0"/>
          <w:bCs w:val="0"/>
          <w:color w:val="auto"/>
          <w:sz w:val="21"/>
          <w:highlight w:val="none"/>
        </w:rPr>
        <w:t>分）：运维服务方案包含开发语言选择、服务器部署、与相关联系统接口数据流设计系统日常运行维护、系统数据维护、维护措施、质量保证措施、项目实施计划；</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四档（</w:t>
      </w:r>
      <w:r>
        <w:rPr>
          <w:rFonts w:hint="eastAsia" w:hAnsi="宋体" w:cs="宋体"/>
          <w:b w:val="0"/>
          <w:bCs w:val="0"/>
          <w:color w:val="auto"/>
          <w:sz w:val="21"/>
          <w:highlight w:val="none"/>
          <w:lang w:eastAsia="zh-CN"/>
        </w:rPr>
        <w:t>2</w:t>
      </w:r>
      <w:r>
        <w:rPr>
          <w:rFonts w:hint="eastAsia" w:hAnsi="宋体" w:cs="宋体"/>
          <w:b w:val="0"/>
          <w:bCs w:val="0"/>
          <w:color w:val="auto"/>
          <w:sz w:val="21"/>
          <w:highlight w:val="none"/>
          <w:lang w:val="en-US" w:eastAsia="zh-CN"/>
        </w:rPr>
        <w:t>5</w:t>
      </w:r>
      <w:r>
        <w:rPr>
          <w:rFonts w:hint="eastAsia" w:hAnsi="宋体" w:cs="宋体"/>
          <w:b w:val="0"/>
          <w:bCs w:val="0"/>
          <w:color w:val="auto"/>
          <w:sz w:val="21"/>
          <w:highlight w:val="none"/>
        </w:rPr>
        <w:t>分）：运维服务方案有完善的系统日常运行维护、系统数据维护、维护措施、质量保证措施、项目实施计划，维护人员安排一览表、应急措施，有完善的维保工具设备；</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五档（</w:t>
      </w:r>
      <w:r>
        <w:rPr>
          <w:rFonts w:hint="eastAsia" w:hAnsi="宋体" w:cs="宋体"/>
          <w:b w:val="0"/>
          <w:bCs w:val="0"/>
          <w:color w:val="auto"/>
          <w:sz w:val="21"/>
          <w:highlight w:val="none"/>
          <w:lang w:val="en-US" w:eastAsia="zh-CN"/>
        </w:rPr>
        <w:t>30</w:t>
      </w:r>
      <w:r>
        <w:rPr>
          <w:rFonts w:hint="eastAsia" w:hAnsi="宋体" w:cs="宋体"/>
          <w:b w:val="0"/>
          <w:bCs w:val="0"/>
          <w:color w:val="auto"/>
          <w:sz w:val="21"/>
          <w:highlight w:val="none"/>
        </w:rPr>
        <w:t>分）：在满足四档的基础上，针对本项目提供的运维服务方案包含详实的运维服务计划及内容、服务流程及方式，日常维护方案条理清晰，异常数据治理、定位故障等系统问题的措施合理，针对维护期间采购人关于需求改造的要求能提供有相应的承诺及实现功能要求的模块及功能改造方案；具有完善的信息系统运维管理体系，提供解决建议性方案且符合项目特点，对各项关键工作有合理安排。在服务区域常驻有2名技术人员及以上的，提供拟投入人员的在职证明复印件（如社保、劳动合同等）并加盖供应商公章。</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w:t>
      </w:r>
      <w:r>
        <w:rPr>
          <w:rFonts w:hint="eastAsia" w:hAnsi="宋体" w:cs="宋体"/>
          <w:b/>
          <w:bCs/>
          <w:color w:val="auto"/>
          <w:sz w:val="21"/>
          <w:highlight w:val="none"/>
          <w:lang w:val="en-US" w:eastAsia="zh-CN"/>
        </w:rPr>
        <w:t>3</w:t>
      </w:r>
      <w:r>
        <w:rPr>
          <w:rFonts w:hint="eastAsia" w:hAnsi="宋体" w:cs="宋体"/>
          <w:b/>
          <w:bCs/>
          <w:color w:val="auto"/>
          <w:sz w:val="21"/>
          <w:highlight w:val="none"/>
        </w:rPr>
        <w:t>）售后服务（满分</w:t>
      </w:r>
      <w:r>
        <w:rPr>
          <w:rFonts w:hint="eastAsia" w:hAnsi="宋体" w:cs="宋体"/>
          <w:b/>
          <w:bCs/>
          <w:color w:val="auto"/>
          <w:sz w:val="21"/>
          <w:highlight w:val="none"/>
          <w:lang w:val="en-US" w:eastAsia="zh-CN"/>
        </w:rPr>
        <w:t>24</w:t>
      </w:r>
      <w:r>
        <w:rPr>
          <w:rFonts w:hint="eastAsia" w:hAnsi="宋体" w:cs="宋体"/>
          <w:b/>
          <w:bCs/>
          <w:color w:val="auto"/>
          <w:sz w:val="21"/>
          <w:highlight w:val="none"/>
        </w:rPr>
        <w:t>分）</w:t>
      </w:r>
    </w:p>
    <w:p>
      <w:pPr>
        <w:pStyle w:val="215"/>
        <w:spacing w:line="440" w:lineRule="exact"/>
        <w:ind w:firstLine="445"/>
        <w:rPr>
          <w:rFonts w:hint="eastAsia" w:hAnsi="宋体" w:cs="宋体"/>
          <w:b w:val="0"/>
          <w:bCs w:val="0"/>
          <w:color w:val="auto"/>
          <w:sz w:val="21"/>
          <w:highlight w:val="none"/>
        </w:rPr>
      </w:pPr>
      <w:r>
        <w:rPr>
          <w:rFonts w:hint="eastAsia" w:hAnsi="宋体" w:cs="宋体"/>
          <w:b w:val="0"/>
          <w:bCs w:val="0"/>
          <w:color w:val="auto"/>
          <w:sz w:val="21"/>
          <w:highlight w:val="none"/>
        </w:rPr>
        <w:t>由评标小组成员根据供应商提供的</w:t>
      </w:r>
      <w:r>
        <w:rPr>
          <w:rFonts w:hint="eastAsia" w:hAnsi="宋体" w:cs="宋体"/>
          <w:b w:val="0"/>
          <w:bCs w:val="0"/>
          <w:color w:val="auto"/>
          <w:sz w:val="21"/>
          <w:highlight w:val="none"/>
          <w:lang w:eastAsia="zh-CN"/>
        </w:rPr>
        <w:t>售后</w:t>
      </w:r>
      <w:r>
        <w:rPr>
          <w:rFonts w:hint="eastAsia" w:hAnsi="宋体" w:cs="宋体"/>
          <w:b w:val="0"/>
          <w:bCs w:val="0"/>
          <w:color w:val="auto"/>
          <w:sz w:val="21"/>
          <w:highlight w:val="none"/>
        </w:rPr>
        <w:t>方案确定各供应商所属档次并打分。</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一档（0分）：未提供</w:t>
      </w:r>
      <w:r>
        <w:rPr>
          <w:rFonts w:hint="eastAsia" w:hAnsi="宋体" w:cs="宋体"/>
          <w:b w:val="0"/>
          <w:bCs w:val="0"/>
          <w:color w:val="auto"/>
          <w:sz w:val="21"/>
          <w:highlight w:val="none"/>
          <w:lang w:eastAsia="zh-CN"/>
        </w:rPr>
        <w:t>售后服务</w:t>
      </w:r>
      <w:r>
        <w:rPr>
          <w:rFonts w:hint="eastAsia" w:hAnsi="宋体" w:cs="宋体"/>
          <w:b w:val="0"/>
          <w:bCs w:val="0"/>
          <w:color w:val="auto"/>
          <w:sz w:val="21"/>
          <w:highlight w:val="none"/>
        </w:rPr>
        <w:t>方案或提供的方案与本项目不相符；</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一档（</w:t>
      </w:r>
      <w:r>
        <w:rPr>
          <w:rFonts w:hint="eastAsia" w:hAnsi="宋体" w:cs="宋体"/>
          <w:color w:val="auto"/>
          <w:sz w:val="21"/>
          <w:highlight w:val="none"/>
          <w:lang w:val="en-US" w:eastAsia="zh-CN"/>
        </w:rPr>
        <w:t>8</w:t>
      </w:r>
      <w:r>
        <w:rPr>
          <w:rFonts w:hint="eastAsia" w:hAnsi="宋体" w:cs="宋体"/>
          <w:color w:val="auto"/>
          <w:sz w:val="21"/>
          <w:highlight w:val="none"/>
        </w:rPr>
        <w:t>分）：服务方案包含有项目售后服务维护，但方案较为简单，缺乏针对性。</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二档（</w:t>
      </w:r>
      <w:r>
        <w:rPr>
          <w:rFonts w:hint="eastAsia" w:hAnsi="宋体" w:cs="宋体"/>
          <w:color w:val="auto"/>
          <w:sz w:val="21"/>
          <w:highlight w:val="none"/>
          <w:lang w:val="en-US" w:eastAsia="zh-CN"/>
        </w:rPr>
        <w:t>16</w:t>
      </w:r>
      <w:r>
        <w:rPr>
          <w:rFonts w:hint="eastAsia" w:hAnsi="宋体" w:cs="宋体"/>
          <w:color w:val="auto"/>
          <w:sz w:val="21"/>
          <w:highlight w:val="none"/>
        </w:rPr>
        <w:t>分）：方案包含有项目服务维护、保密承诺及廉洁承诺等，且描述了项目维护的方法以及实现方式，方案合理可行，具有针对性。</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三档（</w:t>
      </w:r>
      <w:r>
        <w:rPr>
          <w:rFonts w:hint="eastAsia" w:hAnsi="宋体" w:cs="宋体"/>
          <w:color w:val="auto"/>
          <w:sz w:val="21"/>
          <w:highlight w:val="none"/>
          <w:lang w:val="en-US" w:eastAsia="zh-CN"/>
        </w:rPr>
        <w:t>24</w:t>
      </w:r>
      <w:r>
        <w:rPr>
          <w:rFonts w:hint="eastAsia" w:hAnsi="宋体" w:cs="宋体"/>
          <w:color w:val="auto"/>
          <w:sz w:val="21"/>
          <w:highlight w:val="none"/>
        </w:rPr>
        <w:t>分）：方案包含有合理可行并且具有针对性的项目售后维护、保密承诺及廉洁承诺等，且描述了项目售后维护的方法以及实现方式，售后服务机构及联系人、技术人员名单等资料详细，服务承诺和保障措施考虑周全完整。</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3、商务分………………………………………………………………………………</w:t>
      </w:r>
      <w:r>
        <w:rPr>
          <w:rFonts w:hint="eastAsia" w:hAnsi="宋体" w:cs="宋体"/>
          <w:b/>
          <w:bCs/>
          <w:color w:val="auto"/>
          <w:sz w:val="21"/>
          <w:highlight w:val="none"/>
          <w:lang w:val="en-US" w:eastAsia="zh-CN"/>
        </w:rPr>
        <w:t>6</w:t>
      </w:r>
      <w:r>
        <w:rPr>
          <w:rFonts w:hint="eastAsia" w:hAnsi="宋体" w:cs="宋体"/>
          <w:b/>
          <w:bCs/>
          <w:color w:val="auto"/>
          <w:sz w:val="21"/>
          <w:highlight w:val="none"/>
        </w:rPr>
        <w:t>分</w:t>
      </w:r>
    </w:p>
    <w:p>
      <w:pPr>
        <w:pStyle w:val="23"/>
        <w:spacing w:line="440" w:lineRule="exact"/>
        <w:ind w:firstLine="420"/>
        <w:rPr>
          <w:rFonts w:hint="eastAsia" w:hAnsi="宋体" w:cs="宋体"/>
          <w:color w:val="auto"/>
          <w:sz w:val="21"/>
          <w:highlight w:val="none"/>
        </w:rPr>
      </w:pPr>
      <w:r>
        <w:rPr>
          <w:rFonts w:hint="eastAsia" w:hAnsi="宋体" w:cs="宋体"/>
          <w:color w:val="auto"/>
          <w:sz w:val="21"/>
          <w:highlight w:val="none"/>
        </w:rPr>
        <w:t>供应商自</w:t>
      </w:r>
      <w:r>
        <w:rPr>
          <w:rFonts w:hint="eastAsia" w:hAnsi="宋体" w:cs="宋体"/>
          <w:color w:val="auto"/>
          <w:sz w:val="21"/>
          <w:highlight w:val="none"/>
          <w:lang w:val="en-US" w:eastAsia="zh-CN"/>
        </w:rPr>
        <w:t>2022年1月1日</w:t>
      </w:r>
      <w:r>
        <w:rPr>
          <w:rFonts w:hint="eastAsia" w:hAnsi="宋体" w:cs="宋体"/>
          <w:color w:val="auto"/>
          <w:sz w:val="21"/>
          <w:highlight w:val="none"/>
        </w:rPr>
        <w:t>以来具有同类业绩材料，每有一项得</w:t>
      </w:r>
      <w:r>
        <w:rPr>
          <w:rFonts w:hint="eastAsia" w:hAnsi="宋体" w:cs="宋体"/>
          <w:color w:val="auto"/>
          <w:sz w:val="21"/>
          <w:highlight w:val="none"/>
          <w:lang w:val="en-US" w:eastAsia="zh-CN"/>
        </w:rPr>
        <w:t>3</w:t>
      </w:r>
      <w:r>
        <w:rPr>
          <w:rFonts w:hint="eastAsia" w:hAnsi="宋体" w:cs="宋体"/>
          <w:color w:val="auto"/>
          <w:sz w:val="21"/>
          <w:highlight w:val="none"/>
        </w:rPr>
        <w:t>分，满分</w:t>
      </w:r>
      <w:r>
        <w:rPr>
          <w:rFonts w:hint="eastAsia" w:hAnsi="宋体" w:cs="宋体"/>
          <w:color w:val="auto"/>
          <w:sz w:val="21"/>
          <w:highlight w:val="none"/>
          <w:lang w:val="en-US" w:eastAsia="zh-CN"/>
        </w:rPr>
        <w:t>6</w:t>
      </w:r>
      <w:r>
        <w:rPr>
          <w:rFonts w:hint="eastAsia" w:hAnsi="宋体" w:cs="宋体"/>
          <w:color w:val="auto"/>
          <w:sz w:val="21"/>
          <w:highlight w:val="none"/>
        </w:rPr>
        <w:t>分。（以开具发票或者中标（成交）通知书或合同复印件为准，并加盖供应商公章。）</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总得分=1+2+3</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说明：上述评分标准中提及的证书、证件、证明、业绩材料等须提供有效的证书或证明材料扫描件或其他电子文件，并须加盖供应商CA电子签章，否则不予计分。</w:t>
      </w:r>
    </w:p>
    <w:p>
      <w:pPr>
        <w:pStyle w:val="23"/>
        <w:spacing w:line="440" w:lineRule="exact"/>
        <w:ind w:firstLine="420"/>
        <w:rPr>
          <w:rFonts w:hAnsi="宋体" w:cs="宋体"/>
          <w:b/>
          <w:bCs/>
          <w:color w:val="auto"/>
          <w:sz w:val="21"/>
          <w:highlight w:val="none"/>
        </w:rPr>
      </w:pP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三、推荐及确定成交候选供应商原则</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由磋商小组根据综合评分情况，按照评审得分由高到低顺序推荐3名以上中标（成交）候选供应商，并编写评审报告。评审得分相同的，按照最后报价（不计算价格折扣）由低到高的顺序推荐。评审得分且最后报价（不计算价格折扣）相同的，按照技术指标优劣顺序推荐（按综合评分中服务水平、售后服务、履约能力、政策功能得分高低依次确定）。评审得分、最后报价（不计算价格折扣）、技术得分均相同的，由磋商小组随机抽取推荐。</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本项目确定一名成交供应商。采购单位应当确定磋商小组推荐排名第一的成交候选供应商为成交供应商。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排名第一的中标（成交）候选人放弃中标、因不可抗力提出不能履行合同，或者招标文件规定应当提交履约保证金而在规定的期限内未能提交的，或因失信行为被取消中标候选人资格的，采购人可以确定排名第二的中标（成交）候选人为中标人，并依此类推。</w:t>
      </w:r>
    </w:p>
    <w:p>
      <w:pPr>
        <w:spacing w:line="44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本标项允许兼投兼中。供应商可以同时参与多个标项的竞标，并且可以同时中标多个标项。</w:t>
      </w:r>
    </w:p>
    <w:p>
      <w:pPr>
        <w:spacing w:line="44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四、特别说明</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评审时，磋商小组认为供应商的报价明显低于其他通过符合性审查供应商的报价，有可能影响产品质量或者不能诚信履约的，可要求其在评标现场合理的时间内按以下成本构成科目以书面方式提供计算数据及计算方法作为报价合理性的证明资料：包括所需材料、管理费用、人员成本构成、税收等所有成本和利润。供应商也可直接在响应文件中提供上述资料以避免因无法及时提供说明而导致可能被磋商小组作为无效响应处理。如果供应商不能合理说明或者提供的有关证明材料不完整，不能证明其报价合理性的，磋商小组应当将其作为无效投标处理。供应商书面说明应当签字确认或者加盖公章，否则无效。</w:t>
      </w:r>
    </w:p>
    <w:p>
      <w:pPr>
        <w:pStyle w:val="23"/>
        <w:spacing w:line="440" w:lineRule="exact"/>
        <w:ind w:firstLine="420"/>
        <w:rPr>
          <w:rFonts w:hAnsi="宋体" w:cs="宋体"/>
          <w:color w:val="auto"/>
          <w:sz w:val="21"/>
          <w:highlight w:val="none"/>
        </w:rPr>
        <w:sectPr>
          <w:headerReference r:id="rId5" w:type="first"/>
          <w:footerReference r:id="rId8" w:type="first"/>
          <w:footerReference r:id="rId6" w:type="default"/>
          <w:footerReference r:id="rId7" w:type="even"/>
          <w:pgSz w:w="11906" w:h="16838"/>
          <w:pgMar w:top="1134" w:right="1247" w:bottom="1134" w:left="1247" w:header="851" w:footer="1310" w:gutter="0"/>
          <w:cols w:space="720" w:num="1"/>
          <w:docGrid w:linePitch="312" w:charSpace="0"/>
        </w:sectPr>
      </w:pPr>
    </w:p>
    <w:bookmarkEnd w:id="72"/>
    <w:p>
      <w:pPr>
        <w:pStyle w:val="5"/>
        <w:spacing w:before="0" w:after="0" w:line="440" w:lineRule="exact"/>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标项二（广西农业农村厅协同办公系统平台运维服务）适用</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一、评标原则</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(一)“磋商小组”构成：本采购项目的“磋商小组”分别由依法组成的评审专家、采购人代表共</w:t>
      </w:r>
      <w:r>
        <w:rPr>
          <w:rFonts w:hint="eastAsia" w:ascii="宋体" w:hAnsi="宋体" w:cs="宋体"/>
          <w:color w:val="auto"/>
          <w:szCs w:val="21"/>
          <w:highlight w:val="none"/>
          <w:u w:val="single"/>
        </w:rPr>
        <w:t>三</w:t>
      </w:r>
      <w:r>
        <w:rPr>
          <w:rFonts w:hint="eastAsia" w:ascii="宋体" w:hAnsi="宋体" w:cs="宋体"/>
          <w:color w:val="auto"/>
          <w:szCs w:val="21"/>
          <w:highlight w:val="none"/>
        </w:rPr>
        <w:t>人以上单数构成，其中评审专家人数不少于成员总数的三分之二。</w:t>
      </w:r>
    </w:p>
    <w:p>
      <w:pPr>
        <w:pStyle w:val="23"/>
        <w:spacing w:line="440" w:lineRule="exact"/>
        <w:ind w:firstLine="420"/>
        <w:rPr>
          <w:rFonts w:hAnsi="宋体" w:cs="宋体"/>
          <w:color w:val="auto"/>
          <w:kern w:val="2"/>
          <w:sz w:val="21"/>
          <w:highlight w:val="none"/>
        </w:rPr>
      </w:pPr>
      <w:r>
        <w:rPr>
          <w:rFonts w:hint="eastAsia" w:hAnsi="宋体" w:cs="宋体"/>
          <w:color w:val="auto"/>
          <w:kern w:val="2"/>
          <w:sz w:val="21"/>
          <w:highlight w:val="none"/>
        </w:rPr>
        <w:t>(二)评审依据：磋商小组将以磋商响应文件为评审依据，对供应商的报价、技术服务方案、商务等方面内容按百分制打分。（计分方法按四舍五入取至百分位）。</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（三）评标方式：以封闭方式进行。评审全过程中不允许供应商与“磋商小组”之间有可能影响到评审结果公正性的私下会面与谈话，以体现公平、公正的基本原则。</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（四）采购人和采购代理机构、评标委员会成员要严格遵守政府采购相关法律制度，依法履行各自职责，公正、客观、审慎地组织和参与评审工作。</w:t>
      </w:r>
    </w:p>
    <w:p>
      <w:pPr>
        <w:snapToGrid w:val="0"/>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二、评标方法</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对进入详评的，采用百分制综合评分法，计分办法（按四舍五入取至百分位）：</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1、价格分………………………………………………………………………………………10分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（1）政府采购政策扣除</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政府采购政策扣除：本项目为</w:t>
      </w:r>
      <w:r>
        <w:rPr>
          <w:rFonts w:hint="eastAsia" w:hAnsi="宋体" w:cs="宋体"/>
          <w:color w:val="auto"/>
          <w:sz w:val="21"/>
          <w:highlight w:val="none"/>
          <w:lang w:val="zh-CN"/>
        </w:rPr>
        <w:t>专门面向小微企业采购的项目</w:t>
      </w:r>
      <w:r>
        <w:rPr>
          <w:rFonts w:hint="eastAsia" w:hAnsi="宋体" w:cs="宋体"/>
          <w:color w:val="auto"/>
          <w:sz w:val="21"/>
          <w:highlight w:val="none"/>
        </w:rPr>
        <w:t>，不再执行价格评审优惠的扶持政策，评审报价＝竞标报价。</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（2）价格分（满分10分）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满足磋商文件要求且评审报价最低的有效供应商的评审报价为评标基准价，其报价分为满分。其他供应商的价格分统一按照下列公式计算：某有效供应商的价格分=（评标基准价／某有效供应商评审报价）×10 分。</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2、技术分………………………………………………………………………………………70分</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(1)服务总体方案（满分20分）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由评标小组成员根据供应商提供的服务总体方案进行独立评审并独立打分。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一档（0分）：未提供服务总体方案或提供的服务总体方案与本项目不相符；</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二档（5分）：对管理系统有基本的了解，服务总体方案的总体服务内容不够全面，方案总体逻辑结构不够清晰；</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三档（10分）：对本项目的管理系统有一定的了解，提供的服务总体方案维护思路、难点、特点、关键点描述较清晰，满足项目技术要求；</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四档（15分）：对本项目的管理系统的特点了解较全面，提供的服务总体方案维护思路、难点、特点、关键点描述清晰，提出的服务技术方案针对性强。承诺的响应时间、重要时期保障服务、例行检查方案、驻场保障服务方案内容详实，定期预防性检查、故障处理措施可操作性强；</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五档（20分）：满足四档的基础上，提供的服务技术方案详细完善，管理流程清晰到位，有符合需求特点的服务监督及保障机制。承诺的响应时间、安全评估服务、例行检查方案情况等内容详细，驻场保障服务方案能有效保障项目的整体实施；制定有定期预防性检查、故障处理措施，有针对重要时期保障措施、人员保障预案、资源协调预案，与服务对象的工作衔接能有效的实施维护工作。</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(2)运维服务方案分（满分20分）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由评标小组成员根据供应商提供的运维服务方案进行独立评审并独立打分。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一档（0分）：未提供运维服务方案或提供的方案与本项目不相符；</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二档（5分）：运维服务方案对于开发语言选择、服务器部署、与相关联系统接口数据流设计等系统运维工作内容有合理的叙述，服务内容符合采购需求；</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三档（10分）：运维服务方案包含开发语言选择、服务器部署、与相关联系统接口数据流设计系统日常运行维护、系统数据维护、维护措施、质量保证措施、项目实施计划；</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四档（15分）：运维服务方案有完善的系统日常运行维护、系统数据维护、维护措施、质量保证措施、项目实施计划，维护人员安排一览表、应急措施，有完善的维保工具设备；</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五档（20分）：在满足四档的基础上，针对本项目提供的运维服务方案包含详实的运维服务计划及内容、服务流程及方式，日常维护方案条理清晰，异常数据治理、定位故障等系统问题的措施合理，针对维护期间采购人关于需求改造的要求能提供有相应的承诺及实现功能要求的模块及功能改造方案；具有完善的信息系统运维管理体系，提供解决建议性方案且符合项目特点，对各项关键工作有合理安排。在服务区域常驻有2名技术人员及以上的，提供拟投入人员的在职证明复印件（如社保、劳动合同等）并加盖供应商公章。</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(3)应急保障方案（满分15分）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根据供应商提供的应急保障方案中项目特点和实际情况的执行方案确定各供应商所属档次并打分。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一档（0分）：未提供应急事件处理方案或提供的方案与本项目不相符；</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二档（5分）：提供有应急事件处理方案，符合本项目实际情况，有较完整相应的应急保障内容；</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三档（10分）：应急预案和配合方案具体详实，对应急服务措施、响应时间、质量控制等承诺有较详细描述，有相应的预案演练方案、流程；</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四档（15分）：关键业务时间节点（年度结息、年终结算）、关键事件（攻防演练、应急演练、三级等保测评）的应急保障方案合理可行，有相应的应急保障措施（系统备份恢复、灾难应急演练、应用级性能优化、安全性维护、人员职责明确、管理制度完善、保密制度规范、应急预案），对项目的风险预见、风险应对措施完备。</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（4）培训服务方案分（满分15分）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根据供应商提供的培训服务方案中项目特点和实际情况的执行方案确定各供应商所属档次并打分。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一档（0分）：未提供培训方案或提供的内容与本项目不相符；</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二档（5分）：有简单的培训计划承诺、内容能满足项目采购需求；</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三档（10分）：提供的培训计划内容描述详细，培训时间安排合理内容完整，培训组织管理计划措施具体可行；</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四档（15分）：培训课程设置合理，培训内容针对性强，课程方案较具体，内容与模块间的关联度高，且培训材料结合本项目培训要求，培训组织管理计划周详、考虑齐全。</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3、商务分………………………………………………………………………………20分</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（1）项目团队人员分（满分4分）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项目经理：持有高级信息系统项目管理师证书，并在有效期内得2分，满分2分；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项目驻场人员：持有中级计算机技术与软件专业技术资格证书得2分，满分2分。</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（2）履约能力分（满分6分）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供应商具有与本项目履约能力ISO9000系列证书或人力资源服务许可证，每个服务资质证书得2分，满分6分。</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（3）项目业绩分（满分10分）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供应商自2022年1月1日以来，具有类似项目案例，每个有效业绩得2分，满分10分。（提供合同或者中标/成交通知书复印件，加盖供应商签章）</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总得分=1+2+3</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说明：上述评分标准中提及的证书、证件、证明、业绩材料等须提供有效的证书或证明材料扫描件或其他电子文件，并须加盖供应商CA电子签章，否则不予计分。</w:t>
      </w:r>
    </w:p>
    <w:p>
      <w:pPr>
        <w:pStyle w:val="23"/>
        <w:spacing w:line="440" w:lineRule="exact"/>
        <w:ind w:firstLine="420"/>
        <w:rPr>
          <w:rFonts w:hAnsi="宋体" w:cs="宋体"/>
          <w:b/>
          <w:bCs/>
          <w:color w:val="auto"/>
          <w:sz w:val="21"/>
          <w:highlight w:val="none"/>
        </w:rPr>
      </w:pP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三、推荐及确定成交候选供应商原则</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由磋商小组根据综合评分情况，按照评审得分由高到低顺序推荐3名以上中标（成交）候选供应商，并编写评审报告。评审得分相同的，按照最后报价（不计算价格折扣）由低到高的顺序推荐。评审得分且最后报价（不计算价格折扣）相同的，按照技术指标优劣顺序推荐（按综合评分中服务水平、售后服务、履约能力、政策功能得分高低依次确定）。评审得分、最后报价（不计算价格折扣）、技术得分均相同的，由磋商小组随机抽取推荐。</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本项目确定一名成交供应商。采购单位应当确定磋商小组推荐排名第一的成交候选供应商为成交供应商。</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排名第一的中标（成交）候选人放弃中标、因不可抗力提出不能履行合同，或者招标文件规定应当提交履约保证金而在规定的期限内未能提交的，或因失信行为被取消中标候选人资格的，采购人可以确定排名第二的中标（成交）候选人为中标人，并依此类推。</w:t>
      </w:r>
    </w:p>
    <w:p>
      <w:pPr>
        <w:spacing w:line="44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本标项允许兼投兼中。供应商可以同时参与多个标项的竞标，并且可以同时中标多个标项</w:t>
      </w:r>
    </w:p>
    <w:p>
      <w:pPr>
        <w:spacing w:line="44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四、特别说明</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评审时，磋商小组认为供应商的报价明显低于其他通过符合性审查供应商的报价，有可能影响产品质量或者不能诚信履约的，可要求其在评标现场合理的时间内按以下成本构成科目以书面方式提供计算数据及计算方法作为报价合理性的证明资料：包括所需材料、管理费用、人员成本构成、税收等所有成本和利润。供应商也可直接在响应文件中提供上述资料以避免因无法及时提供说明而导致可能被磋商小组作为无效响应处理。如果供应商不能合理说明或者提供的有关证明材料不完整，不能证明其报价合理性的，磋商小组应当将其作为无效投标处理。供应商书面说明应当签字确认或者加盖公章，否则无效。</w:t>
      </w:r>
    </w:p>
    <w:p>
      <w:pPr>
        <w:spacing w:line="440" w:lineRule="exact"/>
        <w:ind w:firstLine="411" w:firstLineChars="196"/>
        <w:rPr>
          <w:rFonts w:ascii="宋体" w:hAnsi="宋体" w:cs="宋体"/>
          <w:color w:val="auto"/>
          <w:szCs w:val="21"/>
          <w:highlight w:val="none"/>
        </w:rPr>
        <w:sectPr>
          <w:pgSz w:w="11906" w:h="16838"/>
          <w:pgMar w:top="1134" w:right="1247" w:bottom="1134" w:left="1247" w:header="851" w:footer="1310" w:gutter="0"/>
          <w:cols w:space="720" w:num="1"/>
          <w:docGrid w:linePitch="312" w:charSpace="0"/>
        </w:sectPr>
      </w:pPr>
    </w:p>
    <w:p>
      <w:pPr>
        <w:pStyle w:val="5"/>
        <w:spacing w:before="0" w:after="0" w:line="440" w:lineRule="exact"/>
        <w:jc w:val="center"/>
        <w:rPr>
          <w:rFonts w:ascii="宋体" w:hAnsi="宋体" w:eastAsia="宋体" w:cs="宋体"/>
          <w:color w:val="auto"/>
          <w:kern w:val="0"/>
          <w:sz w:val="28"/>
          <w:szCs w:val="28"/>
          <w:highlight w:val="none"/>
        </w:rPr>
      </w:pPr>
      <w:bookmarkStart w:id="73" w:name="OLE_LINK64"/>
      <w:r>
        <w:rPr>
          <w:rFonts w:hint="eastAsia" w:ascii="宋体" w:hAnsi="宋体" w:eastAsia="宋体" w:cs="宋体"/>
          <w:color w:val="auto"/>
          <w:kern w:val="0"/>
          <w:sz w:val="28"/>
          <w:szCs w:val="28"/>
          <w:highlight w:val="none"/>
        </w:rPr>
        <w:t>标项三（广西农产品产销价格监测预警系统运维及数据采集服务）适用</w:t>
      </w:r>
    </w:p>
    <w:p>
      <w:pPr>
        <w:pStyle w:val="23"/>
        <w:spacing w:line="440" w:lineRule="exact"/>
        <w:ind w:firstLine="420"/>
        <w:rPr>
          <w:rFonts w:hAnsi="宋体" w:cs="宋体"/>
          <w:b/>
          <w:bCs/>
          <w:color w:val="auto"/>
          <w:sz w:val="21"/>
          <w:highlight w:val="none"/>
        </w:rPr>
      </w:pPr>
      <w:bookmarkStart w:id="74" w:name="OLE_LINK73"/>
      <w:r>
        <w:rPr>
          <w:rFonts w:hint="eastAsia" w:hAnsi="宋体" w:cs="宋体"/>
          <w:b/>
          <w:bCs/>
          <w:color w:val="auto"/>
          <w:sz w:val="21"/>
          <w:highlight w:val="none"/>
        </w:rPr>
        <w:t>一、评标原则</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(一)“磋商小组”构成：本采购项目的“磋商小组”分别由依法组成的评审专家、采购人代表共</w:t>
      </w:r>
      <w:r>
        <w:rPr>
          <w:rFonts w:hint="eastAsia" w:ascii="宋体" w:hAnsi="宋体" w:cs="宋体"/>
          <w:color w:val="auto"/>
          <w:szCs w:val="21"/>
          <w:highlight w:val="none"/>
          <w:u w:val="single"/>
        </w:rPr>
        <w:t>三</w:t>
      </w:r>
      <w:r>
        <w:rPr>
          <w:rFonts w:hint="eastAsia" w:ascii="宋体" w:hAnsi="宋体" w:cs="宋体"/>
          <w:color w:val="auto"/>
          <w:szCs w:val="21"/>
          <w:highlight w:val="none"/>
        </w:rPr>
        <w:t>人以上单数构成，其中评审专家人数不少于成员总数的三分之二。</w:t>
      </w:r>
    </w:p>
    <w:p>
      <w:pPr>
        <w:pStyle w:val="23"/>
        <w:spacing w:line="440" w:lineRule="exact"/>
        <w:ind w:firstLine="420"/>
        <w:rPr>
          <w:rFonts w:hAnsi="宋体" w:cs="宋体"/>
          <w:color w:val="auto"/>
          <w:kern w:val="2"/>
          <w:sz w:val="21"/>
          <w:highlight w:val="none"/>
        </w:rPr>
      </w:pPr>
      <w:r>
        <w:rPr>
          <w:rFonts w:hint="eastAsia" w:hAnsi="宋体" w:cs="宋体"/>
          <w:color w:val="auto"/>
          <w:kern w:val="2"/>
          <w:sz w:val="21"/>
          <w:highlight w:val="none"/>
        </w:rPr>
        <w:t>(二)评审依据：磋商小组将以磋商响应文件为评审依据，对供应商的报价、技术服务方案、商务等方面内容按百分制打分。（计分方法按四舍五入取至百分位）。</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（三）评标方式：以封闭方式进行。评审全过程中不允许供应商与“磋商小组”之间有可能影响到评审结果公正性的私下会面与谈话，以体现公平、公正的基本原则。</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（四）采购人和采购代理机构、评标委员会成员要严格遵守政府采购相关法律制度，依法履行各自职责，公正、客观、审慎地组织和参与评审工作。</w:t>
      </w:r>
    </w:p>
    <w:p>
      <w:pPr>
        <w:snapToGrid w:val="0"/>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二、评标方法</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对进入详评的，采用百分制综合评分法，计分办法（按四舍五入取至百分位）：</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1、价格分………………………………………………………………………………………10分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（1）政府采购政策扣除</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政府采购政策扣除：本项目为专门面向</w:t>
      </w:r>
      <w:r>
        <w:rPr>
          <w:rFonts w:hint="eastAsia" w:hAnsi="宋体" w:cs="宋体"/>
          <w:color w:val="auto"/>
          <w:sz w:val="21"/>
          <w:highlight w:val="none"/>
          <w:lang w:eastAsia="zh-CN"/>
        </w:rPr>
        <w:t>小微</w:t>
      </w:r>
      <w:r>
        <w:rPr>
          <w:rFonts w:hint="eastAsia" w:hAnsi="宋体" w:cs="宋体"/>
          <w:color w:val="auto"/>
          <w:sz w:val="21"/>
          <w:highlight w:val="none"/>
        </w:rPr>
        <w:t>企业采购的项目，不再执行价格评审优惠的扶持政策，评审报价＝竞标报价。</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（2）价格分（满分10分）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满足磋商文件要求且评审报价最低的有效供应商的评审报价为评标基准价，其报价分为满分。其他供应商的价格分统一按照下列公式计算：某有效供应商的价格分=（评标基准价／某有效供应商评审报价）×10 分。</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2、技术分………………………………………………………………………………………</w:t>
      </w:r>
      <w:r>
        <w:rPr>
          <w:rFonts w:hint="eastAsia" w:hAnsi="宋体" w:cs="宋体"/>
          <w:b/>
          <w:bCs/>
          <w:color w:val="auto"/>
          <w:sz w:val="21"/>
          <w:highlight w:val="none"/>
          <w:lang w:val="en-US" w:eastAsia="zh-CN"/>
        </w:rPr>
        <w:t>80</w:t>
      </w:r>
      <w:r>
        <w:rPr>
          <w:rFonts w:hint="eastAsia" w:hAnsi="宋体" w:cs="宋体"/>
          <w:b/>
          <w:bCs/>
          <w:color w:val="auto"/>
          <w:sz w:val="21"/>
          <w:highlight w:val="none"/>
        </w:rPr>
        <w:t>分</w:t>
      </w:r>
    </w:p>
    <w:p>
      <w:pPr>
        <w:pStyle w:val="23"/>
        <w:spacing w:line="440" w:lineRule="exact"/>
        <w:ind w:firstLine="420"/>
        <w:rPr>
          <w:rFonts w:hAnsi="宋体" w:cs="宋体"/>
          <w:b/>
          <w:bCs/>
          <w:color w:val="auto"/>
          <w:sz w:val="21"/>
          <w:highlight w:val="none"/>
        </w:rPr>
      </w:pPr>
      <w:bookmarkStart w:id="75" w:name="OLE_LINK40"/>
      <w:r>
        <w:rPr>
          <w:rFonts w:hint="eastAsia" w:hAnsi="宋体" w:cs="宋体"/>
          <w:b/>
          <w:bCs/>
          <w:color w:val="auto"/>
          <w:sz w:val="21"/>
          <w:highlight w:val="none"/>
        </w:rPr>
        <w:t>(1)</w:t>
      </w:r>
      <w:r>
        <w:rPr>
          <w:rFonts w:hint="eastAsia" w:hAnsi="宋体" w:cs="宋体"/>
          <w:b/>
          <w:bCs/>
          <w:color w:val="auto"/>
          <w:sz w:val="21"/>
          <w:highlight w:val="none"/>
          <w:lang w:eastAsia="zh-CN"/>
        </w:rPr>
        <w:t>系统运维</w:t>
      </w:r>
      <w:r>
        <w:rPr>
          <w:rFonts w:hint="eastAsia" w:hAnsi="宋体" w:cs="宋体"/>
          <w:b/>
          <w:bCs/>
          <w:color w:val="auto"/>
          <w:sz w:val="21"/>
          <w:highlight w:val="none"/>
        </w:rPr>
        <w:t>服务总体方案（满分</w:t>
      </w:r>
      <w:r>
        <w:rPr>
          <w:rFonts w:hint="eastAsia" w:hAnsi="宋体" w:cs="宋体"/>
          <w:b/>
          <w:bCs/>
          <w:color w:val="auto"/>
          <w:sz w:val="21"/>
          <w:highlight w:val="none"/>
          <w:lang w:val="en-US" w:eastAsia="zh-CN"/>
        </w:rPr>
        <w:t>25</w:t>
      </w:r>
      <w:r>
        <w:rPr>
          <w:rFonts w:hint="eastAsia" w:hAnsi="宋体" w:cs="宋体"/>
          <w:b/>
          <w:bCs/>
          <w:color w:val="auto"/>
          <w:sz w:val="21"/>
          <w:highlight w:val="none"/>
        </w:rPr>
        <w:t>分）</w:t>
      </w:r>
    </w:p>
    <w:p>
      <w:pPr>
        <w:pStyle w:val="23"/>
        <w:spacing w:line="440" w:lineRule="exact"/>
        <w:ind w:firstLine="420"/>
        <w:rPr>
          <w:rFonts w:hint="eastAsia" w:hAnsi="宋体" w:cs="宋体"/>
          <w:color w:val="auto"/>
          <w:sz w:val="21"/>
          <w:highlight w:val="none"/>
        </w:rPr>
      </w:pPr>
      <w:bookmarkStart w:id="76" w:name="OLE_LINK41"/>
      <w:r>
        <w:rPr>
          <w:rFonts w:hint="eastAsia" w:hAnsi="宋体" w:cs="宋体"/>
          <w:color w:val="auto"/>
          <w:sz w:val="21"/>
          <w:highlight w:val="none"/>
        </w:rPr>
        <w:t>由评标小组成员根据供应商提供的服务总体方案确定各供应商所属档次</w:t>
      </w:r>
      <w:r>
        <w:rPr>
          <w:rFonts w:hint="eastAsia" w:hAnsi="宋体" w:cs="宋体"/>
          <w:color w:val="auto"/>
          <w:sz w:val="21"/>
          <w:highlight w:val="none"/>
          <w:lang w:eastAsia="zh-CN"/>
        </w:rPr>
        <w:t>并打分</w:t>
      </w:r>
      <w:r>
        <w:rPr>
          <w:rFonts w:hint="eastAsia" w:hAnsi="宋体" w:cs="宋体"/>
          <w:color w:val="auto"/>
          <w:sz w:val="21"/>
          <w:highlight w:val="none"/>
        </w:rPr>
        <w:t>。</w:t>
      </w:r>
    </w:p>
    <w:p>
      <w:pPr>
        <w:pStyle w:val="23"/>
        <w:spacing w:line="440" w:lineRule="exact"/>
        <w:ind w:firstLine="420"/>
        <w:rPr>
          <w:rFonts w:hint="eastAsia" w:hAnsi="宋体" w:cs="宋体"/>
          <w:color w:val="auto"/>
          <w:sz w:val="21"/>
          <w:highlight w:val="none"/>
        </w:rPr>
      </w:pPr>
      <w:r>
        <w:rPr>
          <w:rFonts w:hint="eastAsia" w:hAnsi="宋体" w:cs="宋体"/>
          <w:color w:val="auto"/>
          <w:sz w:val="21"/>
          <w:highlight w:val="none"/>
        </w:rPr>
        <w:t>一档（0分）：未提供服务总体方案或提供的服务总体方案与本项目不相符；</w:t>
      </w:r>
    </w:p>
    <w:p>
      <w:pPr>
        <w:pStyle w:val="23"/>
        <w:spacing w:line="440" w:lineRule="exact"/>
        <w:ind w:firstLine="420"/>
        <w:rPr>
          <w:rFonts w:hint="eastAsia" w:hAnsi="宋体" w:cs="宋体"/>
          <w:color w:val="auto"/>
          <w:sz w:val="21"/>
          <w:highlight w:val="none"/>
        </w:rPr>
      </w:pPr>
      <w:r>
        <w:rPr>
          <w:rFonts w:hint="eastAsia" w:hAnsi="宋体" w:cs="宋体"/>
          <w:color w:val="auto"/>
          <w:sz w:val="21"/>
          <w:highlight w:val="none"/>
        </w:rPr>
        <w:t>二档（5分）：对管理系统有基本的了解，服务总体方案的总体服务内容不够全面，方案总体逻辑结构不够清晰；</w:t>
      </w:r>
    </w:p>
    <w:p>
      <w:pPr>
        <w:pStyle w:val="23"/>
        <w:spacing w:line="440" w:lineRule="exact"/>
        <w:ind w:firstLine="420"/>
        <w:rPr>
          <w:rFonts w:hint="eastAsia" w:hAnsi="宋体" w:cs="宋体"/>
          <w:color w:val="auto"/>
          <w:sz w:val="21"/>
          <w:highlight w:val="none"/>
        </w:rPr>
      </w:pPr>
      <w:r>
        <w:rPr>
          <w:rFonts w:hint="eastAsia" w:hAnsi="宋体" w:cs="宋体"/>
          <w:color w:val="auto"/>
          <w:sz w:val="21"/>
          <w:highlight w:val="none"/>
        </w:rPr>
        <w:t>三档（10分）：对本项目的管理系统有一定的了解，提供的服务总体方案维护思路、难点、特点、关键点描述较清晰，满足项目技术要求；</w:t>
      </w:r>
    </w:p>
    <w:p>
      <w:pPr>
        <w:pStyle w:val="23"/>
        <w:spacing w:line="440" w:lineRule="exact"/>
        <w:ind w:firstLine="420"/>
        <w:rPr>
          <w:rFonts w:hint="eastAsia" w:hAnsi="宋体" w:cs="宋体"/>
          <w:color w:val="auto"/>
          <w:sz w:val="21"/>
          <w:highlight w:val="none"/>
        </w:rPr>
      </w:pPr>
      <w:r>
        <w:rPr>
          <w:rFonts w:hint="eastAsia" w:hAnsi="宋体" w:cs="宋体"/>
          <w:color w:val="auto"/>
          <w:sz w:val="21"/>
          <w:highlight w:val="none"/>
        </w:rPr>
        <w:t>四档（15分）：对本项目的管理系统的特点了解较全面，提供的服务总体方案维护思路、难点、特点、关键点描述清晰，提出的服务技术方案针对性强。承诺的响应时间、重要时期保障服务、例行检查方案、驻场保障服务方案内容详实，定期预防性检查、故障处理措施可操作性强；</w:t>
      </w:r>
    </w:p>
    <w:p>
      <w:pPr>
        <w:pStyle w:val="23"/>
        <w:spacing w:line="440" w:lineRule="exact"/>
        <w:ind w:firstLine="420"/>
        <w:rPr>
          <w:rFonts w:hint="eastAsia" w:hAnsi="宋体" w:cs="宋体"/>
          <w:color w:val="auto"/>
          <w:sz w:val="21"/>
          <w:highlight w:val="none"/>
        </w:rPr>
      </w:pPr>
      <w:r>
        <w:rPr>
          <w:rFonts w:hint="eastAsia" w:hAnsi="宋体" w:cs="宋体"/>
          <w:color w:val="auto"/>
          <w:sz w:val="21"/>
          <w:highlight w:val="none"/>
        </w:rPr>
        <w:t>五档（</w:t>
      </w:r>
      <w:r>
        <w:rPr>
          <w:rFonts w:hint="eastAsia" w:hAnsi="宋体" w:cs="宋体"/>
          <w:color w:val="auto"/>
          <w:sz w:val="21"/>
          <w:highlight w:val="none"/>
          <w:lang w:val="en-US" w:eastAsia="zh-CN"/>
        </w:rPr>
        <w:t>25</w:t>
      </w:r>
      <w:r>
        <w:rPr>
          <w:rFonts w:hint="eastAsia" w:hAnsi="宋体" w:cs="宋体"/>
          <w:color w:val="auto"/>
          <w:sz w:val="21"/>
          <w:highlight w:val="none"/>
        </w:rPr>
        <w:t>分）：满足四档的基础上，提供的服务技术方案详细完善，管理流程清晰到位，有符合需求特点的服务监督及保障机制。承诺的响应时间、安全评估服务、例行检查方案情况等内容详细，驻场保障服务方案能有效保障项目的整体实施；制定有定期预防性检查、故障处理措施，有针对重要时期保障措施、人员保障预案、资源协调预案，与服务对象的工作衔接能有效的实施维护工作。</w:t>
      </w:r>
    </w:p>
    <w:bookmarkEnd w:id="75"/>
    <w:bookmarkEnd w:id="76"/>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(2)</w:t>
      </w:r>
      <w:bookmarkStart w:id="77" w:name="OLE_LINK30"/>
      <w:r>
        <w:rPr>
          <w:rFonts w:hint="eastAsia" w:hAnsi="宋体" w:cs="宋体"/>
          <w:b/>
          <w:bCs/>
          <w:color w:val="auto"/>
          <w:sz w:val="21"/>
          <w:highlight w:val="none"/>
        </w:rPr>
        <w:t>农产品产销价格采集员管理方案</w:t>
      </w:r>
      <w:bookmarkEnd w:id="77"/>
      <w:r>
        <w:rPr>
          <w:rFonts w:hint="eastAsia" w:hAnsi="宋体" w:cs="宋体"/>
          <w:b/>
          <w:bCs/>
          <w:color w:val="auto"/>
          <w:sz w:val="21"/>
          <w:highlight w:val="none"/>
        </w:rPr>
        <w:t>（满分20分）</w:t>
      </w:r>
    </w:p>
    <w:p>
      <w:pPr>
        <w:pStyle w:val="23"/>
        <w:spacing w:line="440" w:lineRule="exact"/>
        <w:ind w:firstLine="420"/>
        <w:rPr>
          <w:rFonts w:hint="eastAsia" w:hAnsi="宋体" w:cs="宋体"/>
          <w:color w:val="auto"/>
          <w:sz w:val="21"/>
          <w:highlight w:val="none"/>
        </w:rPr>
      </w:pPr>
      <w:bookmarkStart w:id="78" w:name="OLE_LINK42"/>
      <w:r>
        <w:rPr>
          <w:rFonts w:hint="eastAsia" w:hAnsi="宋体" w:cs="宋体"/>
          <w:color w:val="auto"/>
          <w:sz w:val="21"/>
          <w:highlight w:val="none"/>
        </w:rPr>
        <w:t>由评标小组成员根据供应商提供的</w:t>
      </w:r>
      <w:bookmarkStart w:id="79" w:name="OLE_LINK31"/>
      <w:r>
        <w:rPr>
          <w:rFonts w:hint="eastAsia" w:hAnsi="宋体" w:cs="宋体"/>
          <w:color w:val="auto"/>
          <w:sz w:val="21"/>
          <w:highlight w:val="none"/>
        </w:rPr>
        <w:t>农产品产销价格采集员管理方案</w:t>
      </w:r>
      <w:bookmarkEnd w:id="79"/>
      <w:bookmarkStart w:id="80" w:name="OLE_LINK32"/>
      <w:r>
        <w:rPr>
          <w:rFonts w:hint="eastAsia" w:hAnsi="宋体" w:cs="宋体"/>
          <w:color w:val="auto"/>
          <w:sz w:val="21"/>
          <w:highlight w:val="none"/>
        </w:rPr>
        <w:t>确定各供应商所属档次</w:t>
      </w:r>
      <w:r>
        <w:rPr>
          <w:rFonts w:hint="eastAsia" w:hAnsi="宋体" w:cs="宋体"/>
          <w:color w:val="auto"/>
          <w:sz w:val="21"/>
          <w:highlight w:val="none"/>
          <w:lang w:eastAsia="zh-CN"/>
        </w:rPr>
        <w:t>并打分</w:t>
      </w:r>
      <w:r>
        <w:rPr>
          <w:rFonts w:hint="eastAsia" w:hAnsi="宋体" w:cs="宋体"/>
          <w:color w:val="auto"/>
          <w:sz w:val="21"/>
          <w:highlight w:val="none"/>
        </w:rPr>
        <w:t>。</w:t>
      </w:r>
      <w:bookmarkEnd w:id="80"/>
    </w:p>
    <w:p>
      <w:pPr>
        <w:pStyle w:val="23"/>
        <w:spacing w:line="440" w:lineRule="exact"/>
        <w:ind w:firstLine="420"/>
        <w:rPr>
          <w:rFonts w:hint="eastAsia" w:hAnsi="宋体" w:cs="宋体"/>
          <w:color w:val="auto"/>
          <w:sz w:val="21"/>
          <w:highlight w:val="none"/>
        </w:rPr>
      </w:pPr>
      <w:bookmarkStart w:id="81" w:name="OLE_LINK33"/>
      <w:r>
        <w:rPr>
          <w:rFonts w:hint="eastAsia" w:hAnsi="宋体" w:cs="宋体"/>
          <w:color w:val="auto"/>
          <w:sz w:val="21"/>
          <w:highlight w:val="none"/>
        </w:rPr>
        <w:t>一档（0分）：未提供农产品产销价格采集员管理方案或提供的方案与本项目不相符；</w:t>
      </w:r>
    </w:p>
    <w:bookmarkEnd w:id="81"/>
    <w:p>
      <w:pPr>
        <w:pStyle w:val="23"/>
        <w:spacing w:line="440" w:lineRule="exact"/>
        <w:ind w:firstLine="420"/>
        <w:rPr>
          <w:rFonts w:hAnsi="宋体" w:cs="宋体"/>
          <w:color w:val="auto"/>
          <w:sz w:val="21"/>
          <w:highlight w:val="none"/>
        </w:rPr>
      </w:pPr>
      <w:r>
        <w:rPr>
          <w:rFonts w:hint="eastAsia" w:hAnsi="宋体" w:cs="宋体"/>
          <w:color w:val="auto"/>
          <w:sz w:val="21"/>
          <w:highlight w:val="none"/>
          <w:lang w:eastAsia="zh-CN"/>
        </w:rPr>
        <w:t>二</w:t>
      </w:r>
      <w:r>
        <w:rPr>
          <w:rFonts w:hint="eastAsia" w:hAnsi="宋体" w:cs="宋体"/>
          <w:color w:val="auto"/>
          <w:sz w:val="21"/>
          <w:highlight w:val="none"/>
        </w:rPr>
        <w:t>档（7分）：农产品产销价格采集点的管理方案基本满足本项目需要，在酬劳管理、上报方式等方面有简单描述。</w:t>
      </w:r>
    </w:p>
    <w:p>
      <w:pPr>
        <w:pStyle w:val="23"/>
        <w:spacing w:line="440" w:lineRule="exact"/>
        <w:ind w:firstLine="420"/>
        <w:rPr>
          <w:rFonts w:hAnsi="宋体" w:cs="宋体"/>
          <w:color w:val="auto"/>
          <w:sz w:val="21"/>
          <w:highlight w:val="none"/>
        </w:rPr>
      </w:pPr>
      <w:r>
        <w:rPr>
          <w:rFonts w:hint="eastAsia" w:hAnsi="宋体" w:cs="宋体"/>
          <w:color w:val="auto"/>
          <w:sz w:val="21"/>
          <w:highlight w:val="none"/>
          <w:lang w:eastAsia="zh-CN"/>
        </w:rPr>
        <w:t>三</w:t>
      </w:r>
      <w:r>
        <w:rPr>
          <w:rFonts w:hint="eastAsia" w:hAnsi="宋体" w:cs="宋体"/>
          <w:color w:val="auto"/>
          <w:sz w:val="21"/>
          <w:highlight w:val="none"/>
        </w:rPr>
        <w:t>档（14分）：农产品产销价格采集点的管理方案详细、合理，在酬劳管理、上报方式等方面有针对性，有采集员变更、考核机制。</w:t>
      </w:r>
    </w:p>
    <w:p>
      <w:pPr>
        <w:pStyle w:val="23"/>
        <w:spacing w:line="440" w:lineRule="exact"/>
        <w:ind w:firstLine="420"/>
        <w:rPr>
          <w:rFonts w:hAnsi="宋体" w:cs="宋体"/>
          <w:color w:val="auto"/>
          <w:sz w:val="21"/>
          <w:highlight w:val="none"/>
        </w:rPr>
      </w:pPr>
      <w:r>
        <w:rPr>
          <w:rFonts w:hint="eastAsia" w:hAnsi="宋体" w:cs="宋体"/>
          <w:color w:val="auto"/>
          <w:sz w:val="21"/>
          <w:highlight w:val="none"/>
          <w:lang w:eastAsia="zh-CN"/>
        </w:rPr>
        <w:t>四</w:t>
      </w:r>
      <w:r>
        <w:rPr>
          <w:rFonts w:hint="eastAsia" w:hAnsi="宋体" w:cs="宋体"/>
          <w:color w:val="auto"/>
          <w:sz w:val="21"/>
          <w:highlight w:val="none"/>
        </w:rPr>
        <w:t>档（20分）：农产品产销价格采集点的管理方案详细、合理、可操作性强，对本项目有针对性，对采集员日常管理、变更、考核、奖励及惩罚、上报方式等有详细机制。</w:t>
      </w:r>
    </w:p>
    <w:bookmarkEnd w:id="78"/>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(3)价格数据分析报告及每周价格数据分析excel报表设计方案(满分</w:t>
      </w:r>
      <w:r>
        <w:rPr>
          <w:rFonts w:hint="eastAsia" w:hAnsi="宋体" w:cs="宋体"/>
          <w:b/>
          <w:bCs/>
          <w:color w:val="auto"/>
          <w:sz w:val="21"/>
          <w:highlight w:val="none"/>
          <w:lang w:val="en-US" w:eastAsia="zh-CN"/>
        </w:rPr>
        <w:t>20</w:t>
      </w:r>
      <w:r>
        <w:rPr>
          <w:rFonts w:hint="eastAsia" w:hAnsi="宋体" w:cs="宋体"/>
          <w:b/>
          <w:bCs/>
          <w:color w:val="auto"/>
          <w:sz w:val="21"/>
          <w:highlight w:val="none"/>
        </w:rPr>
        <w:t>分)</w:t>
      </w:r>
    </w:p>
    <w:p>
      <w:pPr>
        <w:pStyle w:val="23"/>
        <w:spacing w:line="440" w:lineRule="exact"/>
        <w:ind w:firstLine="420"/>
        <w:rPr>
          <w:rFonts w:hint="eastAsia" w:hAnsi="宋体" w:cs="宋体"/>
          <w:color w:val="auto"/>
          <w:sz w:val="21"/>
          <w:highlight w:val="none"/>
        </w:rPr>
      </w:pPr>
      <w:r>
        <w:rPr>
          <w:rFonts w:hint="eastAsia" w:hAnsi="宋体" w:cs="宋体"/>
          <w:color w:val="auto"/>
          <w:sz w:val="21"/>
          <w:highlight w:val="none"/>
        </w:rPr>
        <w:t>由</w:t>
      </w:r>
      <w:r>
        <w:rPr>
          <w:rFonts w:hint="eastAsia" w:hAnsi="宋体" w:cs="宋体"/>
          <w:color w:val="auto"/>
          <w:sz w:val="21"/>
          <w:highlight w:val="none"/>
          <w:lang w:eastAsia="zh-CN"/>
        </w:rPr>
        <w:t>评标</w:t>
      </w:r>
      <w:r>
        <w:rPr>
          <w:rFonts w:hint="eastAsia" w:hAnsi="宋体" w:cs="宋体"/>
          <w:color w:val="auto"/>
          <w:sz w:val="21"/>
          <w:highlight w:val="none"/>
        </w:rPr>
        <w:t>小组</w:t>
      </w:r>
      <w:r>
        <w:rPr>
          <w:rFonts w:hint="eastAsia" w:hAnsi="宋体" w:cs="宋体"/>
          <w:color w:val="auto"/>
          <w:sz w:val="21"/>
          <w:highlight w:val="none"/>
          <w:lang w:eastAsia="zh-CN"/>
        </w:rPr>
        <w:t>成员</w:t>
      </w:r>
      <w:r>
        <w:rPr>
          <w:rFonts w:hint="eastAsia" w:hAnsi="宋体" w:cs="宋体"/>
          <w:color w:val="auto"/>
          <w:sz w:val="21"/>
          <w:highlight w:val="none"/>
        </w:rPr>
        <w:t>根据供应商提供的</w:t>
      </w:r>
      <w:bookmarkStart w:id="82" w:name="OLE_LINK25"/>
      <w:bookmarkStart w:id="83" w:name="OLE_LINK34"/>
      <w:r>
        <w:rPr>
          <w:rFonts w:hint="eastAsia" w:hAnsi="宋体" w:cs="宋体"/>
          <w:color w:val="auto"/>
          <w:sz w:val="21"/>
          <w:highlight w:val="none"/>
          <w:lang w:eastAsia="zh-CN"/>
        </w:rPr>
        <w:t>价格数据分析报告</w:t>
      </w:r>
      <w:bookmarkEnd w:id="82"/>
      <w:r>
        <w:rPr>
          <w:rFonts w:hint="eastAsia" w:hAnsi="宋体" w:cs="宋体"/>
          <w:color w:val="auto"/>
          <w:sz w:val="21"/>
          <w:highlight w:val="none"/>
          <w:lang w:eastAsia="zh-CN"/>
        </w:rPr>
        <w:t>以</w:t>
      </w:r>
      <w:bookmarkStart w:id="84" w:name="OLE_LINK26"/>
      <w:r>
        <w:rPr>
          <w:rFonts w:hint="eastAsia" w:hAnsi="宋体" w:cs="宋体"/>
          <w:color w:val="auto"/>
          <w:sz w:val="21"/>
          <w:highlight w:val="none"/>
          <w:lang w:eastAsia="zh-CN"/>
        </w:rPr>
        <w:t>及每周价格数据分析</w:t>
      </w:r>
      <w:r>
        <w:rPr>
          <w:rFonts w:hint="eastAsia" w:hAnsi="宋体" w:cs="宋体"/>
          <w:color w:val="auto"/>
          <w:sz w:val="21"/>
          <w:highlight w:val="none"/>
          <w:lang w:val="en-US" w:eastAsia="zh-CN"/>
        </w:rPr>
        <w:t>excel报表设计方案</w:t>
      </w:r>
      <w:bookmarkEnd w:id="83"/>
      <w:bookmarkEnd w:id="84"/>
      <w:bookmarkStart w:id="85" w:name="OLE_LINK72"/>
      <w:r>
        <w:rPr>
          <w:rFonts w:hint="eastAsia" w:hAnsi="宋体" w:cs="宋体"/>
          <w:color w:val="auto"/>
          <w:sz w:val="21"/>
          <w:highlight w:val="none"/>
        </w:rPr>
        <w:t>确定各供应商所属档次</w:t>
      </w:r>
      <w:r>
        <w:rPr>
          <w:rFonts w:hint="eastAsia" w:hAnsi="宋体" w:cs="宋体"/>
          <w:color w:val="auto"/>
          <w:sz w:val="21"/>
          <w:highlight w:val="none"/>
          <w:lang w:eastAsia="zh-CN"/>
        </w:rPr>
        <w:t>并打分</w:t>
      </w:r>
      <w:r>
        <w:rPr>
          <w:rFonts w:hint="eastAsia" w:hAnsi="宋体" w:cs="宋体"/>
          <w:color w:val="auto"/>
          <w:sz w:val="21"/>
          <w:highlight w:val="none"/>
        </w:rPr>
        <w:t>。</w:t>
      </w:r>
      <w:bookmarkEnd w:id="85"/>
    </w:p>
    <w:p>
      <w:pPr>
        <w:pStyle w:val="23"/>
        <w:spacing w:line="440" w:lineRule="exact"/>
        <w:ind w:firstLine="420"/>
        <w:rPr>
          <w:rFonts w:hint="eastAsia" w:hAnsi="宋体" w:cs="宋体"/>
          <w:color w:val="auto"/>
          <w:sz w:val="21"/>
          <w:highlight w:val="none"/>
        </w:rPr>
      </w:pPr>
      <w:r>
        <w:rPr>
          <w:rFonts w:hint="eastAsia" w:hAnsi="宋体" w:cs="宋体"/>
          <w:color w:val="auto"/>
          <w:sz w:val="21"/>
          <w:highlight w:val="none"/>
        </w:rPr>
        <w:t>一档（0分）：未提供</w:t>
      </w:r>
      <w:r>
        <w:rPr>
          <w:rFonts w:hint="eastAsia" w:hAnsi="宋体" w:cs="宋体"/>
          <w:color w:val="auto"/>
          <w:sz w:val="21"/>
          <w:highlight w:val="none"/>
          <w:lang w:eastAsia="zh-CN"/>
        </w:rPr>
        <w:t>价格数据分析报告以及每周价格</w:t>
      </w:r>
      <w:bookmarkStart w:id="86" w:name="OLE_LINK35"/>
      <w:r>
        <w:rPr>
          <w:rFonts w:hint="eastAsia" w:hAnsi="宋体" w:cs="宋体"/>
          <w:color w:val="auto"/>
          <w:sz w:val="21"/>
          <w:highlight w:val="none"/>
          <w:lang w:eastAsia="zh-CN"/>
        </w:rPr>
        <w:t>数据分析</w:t>
      </w:r>
      <w:r>
        <w:rPr>
          <w:rFonts w:hint="eastAsia" w:hAnsi="宋体" w:cs="宋体"/>
          <w:color w:val="auto"/>
          <w:sz w:val="21"/>
          <w:highlight w:val="none"/>
          <w:lang w:val="en-US" w:eastAsia="zh-CN"/>
        </w:rPr>
        <w:t>excel报表</w:t>
      </w:r>
      <w:bookmarkEnd w:id="86"/>
      <w:r>
        <w:rPr>
          <w:rFonts w:hint="eastAsia" w:hAnsi="宋体" w:cs="宋体"/>
          <w:color w:val="auto"/>
          <w:sz w:val="21"/>
          <w:highlight w:val="none"/>
          <w:lang w:val="en-US" w:eastAsia="zh-CN"/>
        </w:rPr>
        <w:t>设计方案</w:t>
      </w:r>
      <w:r>
        <w:rPr>
          <w:rFonts w:hint="eastAsia" w:hAnsi="宋体" w:cs="宋体"/>
          <w:color w:val="auto"/>
          <w:sz w:val="21"/>
          <w:highlight w:val="none"/>
        </w:rPr>
        <w:t>或提供的</w:t>
      </w:r>
      <w:r>
        <w:rPr>
          <w:rFonts w:hint="eastAsia" w:hAnsi="宋体" w:cs="宋体"/>
          <w:color w:val="auto"/>
          <w:sz w:val="21"/>
          <w:highlight w:val="none"/>
          <w:lang w:eastAsia="zh-CN"/>
        </w:rPr>
        <w:t>报告及</w:t>
      </w:r>
      <w:r>
        <w:rPr>
          <w:rFonts w:hint="eastAsia" w:hAnsi="宋体" w:cs="宋体"/>
          <w:color w:val="auto"/>
          <w:sz w:val="21"/>
          <w:highlight w:val="none"/>
        </w:rPr>
        <w:t>方案与本项目不相符；</w:t>
      </w:r>
    </w:p>
    <w:p>
      <w:pPr>
        <w:pStyle w:val="23"/>
        <w:spacing w:line="440" w:lineRule="exact"/>
        <w:ind w:firstLine="420"/>
        <w:rPr>
          <w:rFonts w:hAnsi="宋体" w:cs="宋体"/>
          <w:color w:val="auto"/>
          <w:sz w:val="21"/>
          <w:highlight w:val="none"/>
        </w:rPr>
      </w:pPr>
      <w:r>
        <w:rPr>
          <w:rFonts w:hint="eastAsia" w:hAnsi="宋体" w:cs="宋体"/>
          <w:color w:val="auto"/>
          <w:sz w:val="21"/>
          <w:highlight w:val="none"/>
          <w:lang w:eastAsia="zh-CN"/>
        </w:rPr>
        <w:t>二</w:t>
      </w:r>
      <w:r>
        <w:rPr>
          <w:rFonts w:hint="eastAsia" w:hAnsi="宋体" w:cs="宋体"/>
          <w:color w:val="auto"/>
          <w:sz w:val="21"/>
          <w:highlight w:val="none"/>
        </w:rPr>
        <w:t>档（</w:t>
      </w:r>
      <w:r>
        <w:rPr>
          <w:rFonts w:hint="eastAsia" w:hAnsi="宋体" w:cs="宋体"/>
          <w:color w:val="auto"/>
          <w:sz w:val="21"/>
          <w:highlight w:val="none"/>
          <w:lang w:val="en-US" w:eastAsia="zh-CN"/>
        </w:rPr>
        <w:t>7</w:t>
      </w:r>
      <w:r>
        <w:rPr>
          <w:rFonts w:hint="eastAsia" w:hAnsi="宋体" w:cs="宋体"/>
          <w:color w:val="auto"/>
          <w:sz w:val="21"/>
          <w:highlight w:val="none"/>
        </w:rPr>
        <w:t>分）：满足采购文件要求，对</w:t>
      </w:r>
      <w:r>
        <w:rPr>
          <w:rFonts w:hint="eastAsia" w:hAnsi="宋体" w:cs="宋体"/>
          <w:color w:val="auto"/>
          <w:sz w:val="21"/>
          <w:highlight w:val="none"/>
          <w:lang w:eastAsia="zh-CN"/>
        </w:rPr>
        <w:t>价格数据分析报告及数据分析</w:t>
      </w:r>
      <w:r>
        <w:rPr>
          <w:rFonts w:hint="eastAsia" w:hAnsi="宋体" w:cs="宋体"/>
          <w:color w:val="auto"/>
          <w:sz w:val="21"/>
          <w:highlight w:val="none"/>
          <w:lang w:val="en-US" w:eastAsia="zh-CN"/>
        </w:rPr>
        <w:t>excel报表设计方案</w:t>
      </w:r>
      <w:r>
        <w:rPr>
          <w:rFonts w:hint="eastAsia" w:hAnsi="宋体" w:cs="宋体"/>
          <w:color w:val="auto"/>
          <w:sz w:val="21"/>
          <w:highlight w:val="none"/>
        </w:rPr>
        <w:t>只进行了简单的描述。</w:t>
      </w:r>
    </w:p>
    <w:p>
      <w:pPr>
        <w:pStyle w:val="23"/>
        <w:spacing w:line="440" w:lineRule="exact"/>
        <w:ind w:firstLine="420"/>
        <w:rPr>
          <w:rFonts w:hAnsi="宋体" w:cs="宋体"/>
          <w:color w:val="auto"/>
          <w:sz w:val="21"/>
          <w:highlight w:val="none"/>
        </w:rPr>
      </w:pPr>
      <w:r>
        <w:rPr>
          <w:rFonts w:hint="eastAsia" w:hAnsi="宋体" w:cs="宋体"/>
          <w:color w:val="auto"/>
          <w:sz w:val="21"/>
          <w:highlight w:val="none"/>
          <w:lang w:eastAsia="zh-CN"/>
        </w:rPr>
        <w:t>三</w:t>
      </w:r>
      <w:r>
        <w:rPr>
          <w:rFonts w:hint="eastAsia" w:hAnsi="宋体" w:cs="宋体"/>
          <w:color w:val="auto"/>
          <w:sz w:val="21"/>
          <w:highlight w:val="none"/>
        </w:rPr>
        <w:t>档（</w:t>
      </w:r>
      <w:r>
        <w:rPr>
          <w:rFonts w:hint="eastAsia" w:hAnsi="宋体" w:cs="宋体"/>
          <w:color w:val="auto"/>
          <w:sz w:val="21"/>
          <w:highlight w:val="none"/>
          <w:lang w:val="en-US" w:eastAsia="zh-CN"/>
        </w:rPr>
        <w:t>14</w:t>
      </w:r>
      <w:r>
        <w:rPr>
          <w:rFonts w:hint="eastAsia" w:hAnsi="宋体" w:cs="宋体"/>
          <w:color w:val="auto"/>
          <w:sz w:val="21"/>
          <w:highlight w:val="none"/>
        </w:rPr>
        <w:t>分）：</w:t>
      </w:r>
      <w:bookmarkStart w:id="87" w:name="OLE_LINK27"/>
      <w:r>
        <w:rPr>
          <w:rFonts w:hint="eastAsia" w:hAnsi="宋体" w:cs="宋体"/>
          <w:color w:val="auto"/>
          <w:sz w:val="21"/>
          <w:highlight w:val="none"/>
          <w:lang w:eastAsia="zh-CN"/>
        </w:rPr>
        <w:t>价格数据分析报告</w:t>
      </w:r>
      <w:bookmarkEnd w:id="87"/>
      <w:r>
        <w:rPr>
          <w:rFonts w:hint="eastAsia" w:hAnsi="宋体" w:cs="宋体"/>
          <w:color w:val="auto"/>
          <w:sz w:val="21"/>
          <w:highlight w:val="none"/>
        </w:rPr>
        <w:t>简单粗浅，基本可行,描述不够全面和深入。</w:t>
      </w:r>
      <w:r>
        <w:rPr>
          <w:rFonts w:hint="eastAsia" w:hAnsi="宋体" w:cs="宋体"/>
          <w:color w:val="auto"/>
          <w:sz w:val="21"/>
          <w:highlight w:val="none"/>
          <w:lang w:eastAsia="zh-CN"/>
        </w:rPr>
        <w:t>报告中分析的农产品品种不够全面，涨跌原因不够详实，走势分析不够深入，每周价格数据分析</w:t>
      </w:r>
      <w:r>
        <w:rPr>
          <w:rFonts w:hint="eastAsia" w:hAnsi="宋体" w:cs="宋体"/>
          <w:color w:val="auto"/>
          <w:sz w:val="21"/>
          <w:highlight w:val="none"/>
          <w:lang w:val="en-US" w:eastAsia="zh-CN"/>
        </w:rPr>
        <w:t>excel报表设计简单</w:t>
      </w:r>
      <w:r>
        <w:rPr>
          <w:rFonts w:hint="eastAsia" w:hAnsi="宋体" w:cs="宋体"/>
          <w:color w:val="auto"/>
          <w:sz w:val="21"/>
          <w:highlight w:val="none"/>
          <w:lang w:eastAsia="zh-CN"/>
        </w:rPr>
        <w:t>。</w:t>
      </w:r>
    </w:p>
    <w:p>
      <w:pPr>
        <w:pStyle w:val="23"/>
        <w:spacing w:line="440" w:lineRule="exact"/>
        <w:ind w:firstLine="420"/>
        <w:rPr>
          <w:rFonts w:hAnsi="宋体" w:cs="宋体"/>
          <w:color w:val="auto"/>
          <w:sz w:val="21"/>
          <w:highlight w:val="none"/>
        </w:rPr>
      </w:pPr>
      <w:r>
        <w:rPr>
          <w:rFonts w:hint="eastAsia" w:hAnsi="宋体" w:cs="宋体"/>
          <w:color w:val="auto"/>
          <w:sz w:val="21"/>
          <w:highlight w:val="none"/>
          <w:lang w:eastAsia="zh-CN"/>
        </w:rPr>
        <w:t>四</w:t>
      </w:r>
      <w:r>
        <w:rPr>
          <w:rFonts w:hint="eastAsia" w:hAnsi="宋体" w:cs="宋体"/>
          <w:color w:val="auto"/>
          <w:sz w:val="21"/>
          <w:highlight w:val="none"/>
        </w:rPr>
        <w:t>档（</w:t>
      </w:r>
      <w:r>
        <w:rPr>
          <w:rFonts w:hint="eastAsia" w:hAnsi="宋体" w:cs="宋体"/>
          <w:color w:val="auto"/>
          <w:sz w:val="21"/>
          <w:highlight w:val="none"/>
          <w:lang w:val="en-US" w:eastAsia="zh-CN"/>
        </w:rPr>
        <w:t>20</w:t>
      </w:r>
      <w:r>
        <w:rPr>
          <w:rFonts w:hint="eastAsia" w:hAnsi="宋体" w:cs="宋体"/>
          <w:color w:val="auto"/>
          <w:sz w:val="21"/>
          <w:highlight w:val="none"/>
        </w:rPr>
        <w:t>分）：</w:t>
      </w:r>
      <w:r>
        <w:rPr>
          <w:rFonts w:hint="eastAsia" w:hAnsi="宋体" w:cs="宋体"/>
          <w:color w:val="auto"/>
          <w:sz w:val="21"/>
          <w:highlight w:val="none"/>
          <w:lang w:eastAsia="zh-CN"/>
        </w:rPr>
        <w:t>价格数据分析报告提纲内容详实、分析深入，有</w:t>
      </w:r>
      <w:r>
        <w:rPr>
          <w:rFonts w:hint="eastAsia" w:ascii="宋体" w:hAnsi="宋体" w:cs="宋体"/>
          <w:color w:val="auto"/>
          <w:sz w:val="21"/>
          <w:szCs w:val="21"/>
          <w:highlight w:val="none"/>
        </w:rPr>
        <w:t>蔬菜、水果、食用菌</w:t>
      </w:r>
      <w:r>
        <w:rPr>
          <w:rFonts w:hint="eastAsia" w:hAnsi="宋体" w:cs="宋体"/>
          <w:color w:val="auto"/>
          <w:sz w:val="21"/>
          <w:szCs w:val="21"/>
          <w:highlight w:val="none"/>
          <w:lang w:eastAsia="zh-CN"/>
        </w:rPr>
        <w:t>，月</w:t>
      </w:r>
      <w:r>
        <w:rPr>
          <w:rFonts w:hint="eastAsia" w:ascii="宋体" w:hAnsi="宋体" w:cs="宋体"/>
          <w:color w:val="auto"/>
          <w:sz w:val="21"/>
          <w:szCs w:val="21"/>
          <w:highlight w:val="none"/>
        </w:rPr>
        <w:t>度、季度、半年度、年度</w:t>
      </w:r>
      <w:r>
        <w:rPr>
          <w:rFonts w:hint="eastAsia" w:hAnsi="宋体" w:cs="宋体"/>
          <w:color w:val="auto"/>
          <w:sz w:val="21"/>
          <w:highlight w:val="none"/>
          <w:lang w:eastAsia="zh-CN"/>
        </w:rPr>
        <w:t>农产品价格行情分析、走势分析，每周价格数据分析</w:t>
      </w:r>
      <w:r>
        <w:rPr>
          <w:rFonts w:hint="eastAsia" w:hAnsi="宋体" w:cs="宋体"/>
          <w:color w:val="auto"/>
          <w:sz w:val="21"/>
          <w:highlight w:val="none"/>
          <w:lang w:val="en-US" w:eastAsia="zh-CN"/>
        </w:rPr>
        <w:t>excel报表设计能够较好的辅助周报的撰写，</w:t>
      </w:r>
      <w:r>
        <w:rPr>
          <w:rFonts w:hint="eastAsia" w:hAnsi="宋体" w:cs="宋体"/>
          <w:color w:val="auto"/>
          <w:sz w:val="21"/>
          <w:highlight w:val="none"/>
        </w:rPr>
        <w:t>对本项目有针对性。</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（4）售后服务方案（满分15分）</w:t>
      </w:r>
    </w:p>
    <w:p>
      <w:pPr>
        <w:pStyle w:val="23"/>
        <w:spacing w:line="440" w:lineRule="exact"/>
        <w:ind w:firstLine="420"/>
        <w:rPr>
          <w:rFonts w:hint="eastAsia" w:hAnsi="宋体" w:cs="宋体"/>
          <w:color w:val="auto"/>
          <w:sz w:val="21"/>
          <w:highlight w:val="none"/>
        </w:rPr>
      </w:pPr>
      <w:r>
        <w:rPr>
          <w:rFonts w:hint="eastAsia" w:hAnsi="宋体" w:cs="宋体"/>
          <w:color w:val="auto"/>
          <w:sz w:val="21"/>
          <w:highlight w:val="none"/>
        </w:rPr>
        <w:t>由评标小组成员根据供应商提供的</w:t>
      </w:r>
      <w:bookmarkStart w:id="88" w:name="OLE_LINK28"/>
      <w:r>
        <w:rPr>
          <w:rFonts w:hint="eastAsia" w:hAnsi="宋体" w:cs="宋体"/>
          <w:color w:val="auto"/>
          <w:sz w:val="21"/>
          <w:highlight w:val="none"/>
          <w:lang w:eastAsia="zh-CN"/>
        </w:rPr>
        <w:t>售后服务</w:t>
      </w:r>
      <w:r>
        <w:rPr>
          <w:rFonts w:hint="eastAsia" w:hAnsi="宋体" w:cs="宋体"/>
          <w:color w:val="auto"/>
          <w:sz w:val="21"/>
          <w:highlight w:val="none"/>
        </w:rPr>
        <w:t>方案</w:t>
      </w:r>
      <w:bookmarkEnd w:id="88"/>
      <w:r>
        <w:rPr>
          <w:rFonts w:hint="eastAsia" w:hAnsi="宋体" w:cs="宋体"/>
          <w:color w:val="auto"/>
          <w:sz w:val="21"/>
          <w:highlight w:val="none"/>
        </w:rPr>
        <w:t>确定各供应商所属档次</w:t>
      </w:r>
      <w:r>
        <w:rPr>
          <w:rFonts w:hint="eastAsia" w:hAnsi="宋体" w:cs="宋体"/>
          <w:color w:val="auto"/>
          <w:sz w:val="21"/>
          <w:highlight w:val="none"/>
          <w:lang w:eastAsia="zh-CN"/>
        </w:rPr>
        <w:t>并打分</w:t>
      </w:r>
      <w:r>
        <w:rPr>
          <w:rFonts w:hint="eastAsia" w:hAnsi="宋体" w:cs="宋体"/>
          <w:color w:val="auto"/>
          <w:sz w:val="21"/>
          <w:highlight w:val="none"/>
        </w:rPr>
        <w:t>。</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一档（0分）：未提供</w:t>
      </w:r>
      <w:r>
        <w:rPr>
          <w:rFonts w:hint="eastAsia" w:hAnsi="宋体" w:cs="宋体"/>
          <w:color w:val="auto"/>
          <w:sz w:val="21"/>
          <w:highlight w:val="none"/>
          <w:lang w:eastAsia="zh-CN"/>
        </w:rPr>
        <w:t>售后服务</w:t>
      </w:r>
      <w:r>
        <w:rPr>
          <w:rFonts w:hint="eastAsia" w:hAnsi="宋体" w:cs="宋体"/>
          <w:color w:val="auto"/>
          <w:sz w:val="21"/>
          <w:highlight w:val="none"/>
        </w:rPr>
        <w:t>方案或提供的</w:t>
      </w:r>
      <w:r>
        <w:rPr>
          <w:rFonts w:hint="eastAsia" w:hAnsi="宋体" w:cs="宋体"/>
          <w:color w:val="auto"/>
          <w:sz w:val="21"/>
          <w:highlight w:val="none"/>
          <w:lang w:eastAsia="zh-CN"/>
        </w:rPr>
        <w:t>售后服务</w:t>
      </w:r>
      <w:r>
        <w:rPr>
          <w:rFonts w:hint="eastAsia" w:hAnsi="宋体" w:cs="宋体"/>
          <w:color w:val="auto"/>
          <w:sz w:val="21"/>
          <w:highlight w:val="none"/>
        </w:rPr>
        <w:t>方案与本项目不相符；</w:t>
      </w:r>
    </w:p>
    <w:p>
      <w:pPr>
        <w:pStyle w:val="23"/>
        <w:spacing w:line="440" w:lineRule="exact"/>
        <w:ind w:firstLine="420"/>
        <w:rPr>
          <w:rFonts w:hAnsi="宋体" w:cs="宋体"/>
          <w:color w:val="auto"/>
          <w:sz w:val="21"/>
          <w:highlight w:val="none"/>
        </w:rPr>
      </w:pPr>
      <w:r>
        <w:rPr>
          <w:rFonts w:hint="eastAsia" w:hAnsi="宋体" w:cs="宋体"/>
          <w:color w:val="auto"/>
          <w:sz w:val="21"/>
          <w:highlight w:val="none"/>
          <w:lang w:eastAsia="zh-CN"/>
        </w:rPr>
        <w:t>二</w:t>
      </w:r>
      <w:r>
        <w:rPr>
          <w:rFonts w:hint="eastAsia" w:hAnsi="宋体" w:cs="宋体"/>
          <w:color w:val="auto"/>
          <w:sz w:val="21"/>
          <w:highlight w:val="none"/>
        </w:rPr>
        <w:t>档（5分）：在服务地区长期驻有技术服务团队，服务方案包含有项目售后服务维护，但方案较为简单，缺乏针对性。</w:t>
      </w:r>
    </w:p>
    <w:p>
      <w:pPr>
        <w:pStyle w:val="23"/>
        <w:spacing w:line="440" w:lineRule="exact"/>
        <w:ind w:firstLine="420"/>
        <w:rPr>
          <w:rFonts w:hAnsi="宋体" w:cs="宋体"/>
          <w:color w:val="auto"/>
          <w:sz w:val="21"/>
          <w:highlight w:val="none"/>
        </w:rPr>
      </w:pPr>
      <w:r>
        <w:rPr>
          <w:rFonts w:hint="eastAsia" w:hAnsi="宋体" w:cs="宋体"/>
          <w:color w:val="auto"/>
          <w:sz w:val="21"/>
          <w:highlight w:val="none"/>
          <w:lang w:eastAsia="zh-CN"/>
        </w:rPr>
        <w:t>三</w:t>
      </w:r>
      <w:r>
        <w:rPr>
          <w:rFonts w:hint="eastAsia" w:hAnsi="宋体" w:cs="宋体"/>
          <w:color w:val="auto"/>
          <w:sz w:val="21"/>
          <w:highlight w:val="none"/>
        </w:rPr>
        <w:t>档（10分）：在服务地区长期驻有技术服务团队且人数达2人，方案包含有项目服务维护、保密承诺及廉洁承诺等，且描述了项目维护的方法以及实现方式，方案合理可行，具有针对性。</w:t>
      </w:r>
    </w:p>
    <w:p>
      <w:pPr>
        <w:pStyle w:val="23"/>
        <w:spacing w:line="440" w:lineRule="exact"/>
        <w:ind w:firstLine="420"/>
        <w:rPr>
          <w:rFonts w:hAnsi="宋体" w:cs="宋体"/>
          <w:color w:val="auto"/>
          <w:sz w:val="21"/>
          <w:highlight w:val="none"/>
        </w:rPr>
      </w:pPr>
      <w:r>
        <w:rPr>
          <w:rFonts w:hint="eastAsia" w:hAnsi="宋体" w:cs="宋体"/>
          <w:color w:val="auto"/>
          <w:sz w:val="21"/>
          <w:highlight w:val="none"/>
          <w:lang w:eastAsia="zh-CN"/>
        </w:rPr>
        <w:t>四</w:t>
      </w:r>
      <w:r>
        <w:rPr>
          <w:rFonts w:hint="eastAsia" w:hAnsi="宋体" w:cs="宋体"/>
          <w:color w:val="auto"/>
          <w:sz w:val="21"/>
          <w:highlight w:val="none"/>
        </w:rPr>
        <w:t>档（15分）：在服务地区长期驻有技术服务团队且人数达6人或以上，一年驻场服务人数达1人以上，方案包含有合理可行并且具有针对性的项目售后维护、保密承诺及廉洁承诺等，且描述了项目售后维护的方法以及实现方式，售后服务机构及联系人、技术人员名单等资料详细，服务承诺和保障措施考虑周全完整。</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3、商务分………………………………………………………………………………1</w:t>
      </w:r>
      <w:r>
        <w:rPr>
          <w:rFonts w:hint="eastAsia" w:hAnsi="宋体" w:cs="宋体"/>
          <w:b/>
          <w:bCs/>
          <w:color w:val="auto"/>
          <w:sz w:val="21"/>
          <w:highlight w:val="none"/>
          <w:lang w:val="en-US" w:eastAsia="zh-CN"/>
        </w:rPr>
        <w:t>0</w:t>
      </w:r>
      <w:r>
        <w:rPr>
          <w:rFonts w:hint="eastAsia" w:hAnsi="宋体" w:cs="宋体"/>
          <w:b/>
          <w:bCs/>
          <w:color w:val="auto"/>
          <w:sz w:val="21"/>
          <w:highlight w:val="none"/>
        </w:rPr>
        <w:t>分</w:t>
      </w:r>
    </w:p>
    <w:p>
      <w:pPr>
        <w:pStyle w:val="23"/>
        <w:spacing w:line="440" w:lineRule="exact"/>
        <w:ind w:firstLine="420"/>
        <w:rPr>
          <w:rFonts w:hint="eastAsia" w:hAnsi="宋体" w:cs="宋体"/>
          <w:b/>
          <w:bCs/>
          <w:color w:val="auto"/>
          <w:sz w:val="21"/>
          <w:highlight w:val="none"/>
        </w:rPr>
      </w:pPr>
      <w:r>
        <w:rPr>
          <w:rFonts w:hint="eastAsia" w:hAnsi="宋体" w:cs="宋体"/>
          <w:color w:val="auto"/>
          <w:sz w:val="21"/>
          <w:highlight w:val="none"/>
        </w:rPr>
        <w:t>供应商自</w:t>
      </w:r>
      <w:r>
        <w:rPr>
          <w:rFonts w:hint="eastAsia" w:hAnsi="宋体" w:cs="宋体"/>
          <w:color w:val="auto"/>
          <w:sz w:val="21"/>
          <w:highlight w:val="none"/>
          <w:lang w:val="en-US" w:eastAsia="zh-CN"/>
        </w:rPr>
        <w:t>2022年1月1日</w:t>
      </w:r>
      <w:r>
        <w:rPr>
          <w:rFonts w:hint="eastAsia" w:hAnsi="宋体" w:cs="宋体"/>
          <w:color w:val="auto"/>
          <w:sz w:val="21"/>
          <w:highlight w:val="none"/>
        </w:rPr>
        <w:t>以来具有同类业绩材料，每有一项得</w:t>
      </w:r>
      <w:r>
        <w:rPr>
          <w:rFonts w:hint="eastAsia" w:hAnsi="宋体" w:cs="宋体"/>
          <w:color w:val="auto"/>
          <w:sz w:val="21"/>
          <w:highlight w:val="none"/>
          <w:lang w:val="en-US" w:eastAsia="zh-CN"/>
        </w:rPr>
        <w:t>2</w:t>
      </w:r>
      <w:r>
        <w:rPr>
          <w:rFonts w:hint="eastAsia" w:hAnsi="宋体" w:cs="宋体"/>
          <w:color w:val="auto"/>
          <w:sz w:val="21"/>
          <w:highlight w:val="none"/>
        </w:rPr>
        <w:t>分，满分</w:t>
      </w:r>
      <w:r>
        <w:rPr>
          <w:rFonts w:hint="eastAsia" w:hAnsi="宋体" w:cs="宋体"/>
          <w:color w:val="auto"/>
          <w:sz w:val="21"/>
          <w:highlight w:val="none"/>
          <w:lang w:val="en-US" w:eastAsia="zh-CN"/>
        </w:rPr>
        <w:t>10</w:t>
      </w:r>
      <w:r>
        <w:rPr>
          <w:rFonts w:hint="eastAsia" w:hAnsi="宋体" w:cs="宋体"/>
          <w:color w:val="auto"/>
          <w:sz w:val="21"/>
          <w:highlight w:val="none"/>
        </w:rPr>
        <w:t>分。（以开具发票或者中标（成交）通知书或合同复印件为准，并加盖供应商公章。）</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总得分=1+2+3</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说明：上述评分标准中提及的证书、证件、证明、业绩材料等须提供有效的证书或证明材料扫描件或其他电子文件，并须加盖供应商CA电子签章，否则不予计分。</w:t>
      </w:r>
    </w:p>
    <w:p>
      <w:pPr>
        <w:pStyle w:val="23"/>
        <w:spacing w:line="440" w:lineRule="exact"/>
        <w:ind w:firstLine="420"/>
        <w:rPr>
          <w:rFonts w:hAnsi="宋体" w:cs="宋体"/>
          <w:b/>
          <w:bCs/>
          <w:color w:val="auto"/>
          <w:sz w:val="21"/>
          <w:highlight w:val="none"/>
        </w:rPr>
      </w:pP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三、推荐及确定成交候选供应商原则</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由磋商小组根据综合评分情况，按照评审得分由高到低顺序推荐3名以上中标（成交）候选供应商，并编写评审报告。评审得分相同的，按照最后报价（不计算价格折扣）由低到高的顺序推荐。评审得分且最后报价（不计算价格折扣）相同的，按照技术指标优劣顺序推荐（按综合评分中服务水平、售后服务、履约能力、政策功能得分高低依次确定）。评审得分、最后报价（不计算价格折扣）、技术得分均相同的，由磋商小组随机抽取推荐。</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本项目确定一名成交供应商。采购单位应当确定磋商小组推荐排名第一的成交候选供应商为成交供应商。</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排名第一的中标（成交）候选人放弃中标、因不可抗力提出不能履行合同，或者招标文件规定应当提交履约保证金而在规定的期限内未能提交的，或因失信行为被取消中标候选人资格的，采购人可以确定排名第二的中标（成交）候选人为中标人，并依此类推。</w:t>
      </w:r>
    </w:p>
    <w:p>
      <w:pPr>
        <w:spacing w:line="44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本标项允许兼投兼中。供应商可以同时参与多个标项的竞标，并且可以同时中标多个标项</w:t>
      </w:r>
    </w:p>
    <w:p>
      <w:pPr>
        <w:spacing w:line="44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四、特别说明</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评审时，磋商小组认为供应商的报价明显低于其他通过符合性审查供应商的报价，有可能影响产品质量或者不能诚信履约的，可要求其在评标现场合理的时间内按以下成本构成科目以书面方式提供计算数据及计算方法作为报价合理性的证明资料：包括所需材料、管理费用、人员成本构成、税收等所有成本和利润。供应商也可直接在响应文件中提供上述资料以避免因无法及时提供说明而导致可能被磋商小组作为无效响应处理。如果供应商不能合理说明或者提供的有关证明材料不完整，不能证明其报价合理性的，磋商小组应当将其作为无效投标处理。供应商书面说明应当签字确认或者加盖公章，否则无效。</w:t>
      </w:r>
    </w:p>
    <w:p>
      <w:pPr>
        <w:spacing w:line="440" w:lineRule="exact"/>
        <w:ind w:firstLine="411" w:firstLineChars="196"/>
        <w:rPr>
          <w:rFonts w:ascii="宋体" w:hAnsi="宋体" w:cs="宋体"/>
          <w:color w:val="auto"/>
          <w:szCs w:val="21"/>
          <w:highlight w:val="none"/>
        </w:rPr>
        <w:sectPr>
          <w:headerReference r:id="rId10" w:type="first"/>
          <w:footerReference r:id="rId13" w:type="first"/>
          <w:headerReference r:id="rId9" w:type="default"/>
          <w:footerReference r:id="rId11" w:type="default"/>
          <w:footerReference r:id="rId12" w:type="even"/>
          <w:pgSz w:w="11906" w:h="16838"/>
          <w:pgMar w:top="1134" w:right="1247" w:bottom="1134" w:left="1247" w:header="851" w:footer="1310" w:gutter="0"/>
          <w:cols w:space="720" w:num="1"/>
          <w:docGrid w:linePitch="312" w:charSpace="0"/>
        </w:sectPr>
      </w:pPr>
    </w:p>
    <w:bookmarkEnd w:id="73"/>
    <w:bookmarkEnd w:id="74"/>
    <w:p>
      <w:pPr>
        <w:pStyle w:val="5"/>
        <w:spacing w:before="0" w:after="0" w:line="440" w:lineRule="exact"/>
        <w:jc w:val="center"/>
        <w:rPr>
          <w:rFonts w:ascii="宋体" w:hAnsi="宋体" w:eastAsia="宋体" w:cs="宋体"/>
          <w:color w:val="auto"/>
          <w:kern w:val="0"/>
          <w:sz w:val="28"/>
          <w:szCs w:val="28"/>
          <w:highlight w:val="none"/>
        </w:rPr>
      </w:pPr>
      <w:bookmarkStart w:id="89" w:name="OLE_LINK55"/>
      <w:bookmarkStart w:id="90" w:name="OLE_LINK59"/>
      <w:r>
        <w:rPr>
          <w:rFonts w:hint="eastAsia" w:ascii="宋体" w:hAnsi="宋体" w:eastAsia="宋体" w:cs="宋体"/>
          <w:color w:val="auto"/>
          <w:kern w:val="0"/>
          <w:sz w:val="28"/>
          <w:szCs w:val="28"/>
          <w:highlight w:val="none"/>
        </w:rPr>
        <w:t>标项四（广西农情信息管理系统运维服务）适用</w:t>
      </w:r>
    </w:p>
    <w:p>
      <w:pPr>
        <w:pStyle w:val="23"/>
        <w:spacing w:line="440" w:lineRule="exact"/>
        <w:ind w:firstLine="420"/>
        <w:rPr>
          <w:rFonts w:hAnsi="宋体" w:cs="宋体"/>
          <w:b/>
          <w:bCs/>
          <w:color w:val="auto"/>
          <w:sz w:val="21"/>
          <w:highlight w:val="none"/>
        </w:rPr>
      </w:pPr>
      <w:bookmarkStart w:id="91" w:name="OLE_LINK69"/>
      <w:r>
        <w:rPr>
          <w:rFonts w:hint="eastAsia" w:hAnsi="宋体" w:cs="宋体"/>
          <w:b/>
          <w:bCs/>
          <w:color w:val="auto"/>
          <w:sz w:val="21"/>
          <w:highlight w:val="none"/>
        </w:rPr>
        <w:t>一、评标原则</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(一)“磋商小组”构成：本采购项目的“磋商小组”分别由依法组成的评审专家、采购人代表共</w:t>
      </w:r>
      <w:r>
        <w:rPr>
          <w:rFonts w:hint="eastAsia" w:ascii="宋体" w:hAnsi="宋体" w:cs="宋体"/>
          <w:color w:val="auto"/>
          <w:szCs w:val="21"/>
          <w:highlight w:val="none"/>
          <w:u w:val="single"/>
        </w:rPr>
        <w:t>三</w:t>
      </w:r>
      <w:r>
        <w:rPr>
          <w:rFonts w:hint="eastAsia" w:ascii="宋体" w:hAnsi="宋体" w:cs="宋体"/>
          <w:color w:val="auto"/>
          <w:szCs w:val="21"/>
          <w:highlight w:val="none"/>
        </w:rPr>
        <w:t>人以上单数构成，其中评审专家人数不少于成员总数的三分之二。</w:t>
      </w:r>
    </w:p>
    <w:p>
      <w:pPr>
        <w:pStyle w:val="23"/>
        <w:spacing w:line="440" w:lineRule="exact"/>
        <w:ind w:firstLine="420"/>
        <w:rPr>
          <w:rFonts w:hAnsi="宋体" w:cs="宋体"/>
          <w:color w:val="auto"/>
          <w:kern w:val="2"/>
          <w:sz w:val="21"/>
          <w:highlight w:val="none"/>
        </w:rPr>
      </w:pPr>
      <w:r>
        <w:rPr>
          <w:rFonts w:hint="eastAsia" w:hAnsi="宋体" w:cs="宋体"/>
          <w:color w:val="auto"/>
          <w:kern w:val="2"/>
          <w:sz w:val="21"/>
          <w:highlight w:val="none"/>
        </w:rPr>
        <w:t>(二)评审依据：磋商小组将以磋商响应文件为评审依据，对供应商的报价、技术服务方案、商务等方面内容按百分制打分。（计分方法按四舍五入取至百分位）。</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（三）评标方式：以封闭方式进行。评审全过程中不允许供应商与“磋商小组”之间有可能影响到评审结果公正性的私下会面与谈话，以体现公平、公正的基本原则。</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（四）采购人和采购代理机构、评标委员会成员要严格遵守政府采购相关法律制度，依法履行各自职责，公正、客观、审慎地组织和参与评审工作。</w:t>
      </w:r>
    </w:p>
    <w:p>
      <w:pPr>
        <w:snapToGrid w:val="0"/>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二、评标方法</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对进入详评的，采用百分制综合评分法，计分办法（按四舍五入取至百分位）：</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1、价格分………………………………………………………………………………………10分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一、政府采购政策扣除</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按照《政府采购促进中小企业发展管理办法》（财库〔2020〕46号）的规定，供应商在其响应文件中按照格式要求提供《中小企业声明函》，且服务全部由小微企业承接，对其最后报价给予10%（范围为10%-20%）的扣除，扣除后的价格为评审价，即评审价=竞标报价×（1-10%）。</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范围为4%-6%）的扣除，用扣除后的价格参加评审，扣除后的价格为评审价，即评审价=竞标报价×（1-4%）。</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除上述情况外，评审报价=竞标报价。</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满足采购文件要求且评审报价最低的评审报价为评标基准价，其价格分为满分。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二、价格分（满分10分）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（1）满足磋商文件要求且评审报价最低的有效供应商的评审报价为评标基准价，其报价分为满分。其他供应商的价格分统一按照下列公式计算：某有效供应商的价格分=（评标基准价／某有效供应商评审报价）×10 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（2）如有价格扣除时，竞标报价分计算时均按为供应商的实际竞标报价进行价格扣除后的价格进行计算，最终成交金额＝竞标报价。</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2、技术分………………………………………………………………………………………75分</w:t>
      </w:r>
    </w:p>
    <w:p>
      <w:pPr>
        <w:pStyle w:val="23"/>
        <w:spacing w:line="440" w:lineRule="exact"/>
        <w:ind w:firstLine="420"/>
        <w:rPr>
          <w:rFonts w:hint="eastAsia" w:hAnsi="宋体" w:cs="宋体"/>
          <w:b/>
          <w:bCs/>
          <w:color w:val="auto"/>
          <w:sz w:val="21"/>
          <w:highlight w:val="none"/>
        </w:rPr>
      </w:pPr>
      <w:r>
        <w:rPr>
          <w:rFonts w:hint="eastAsia" w:hAnsi="宋体" w:cs="宋体"/>
          <w:b/>
          <w:bCs/>
          <w:color w:val="auto"/>
          <w:sz w:val="21"/>
          <w:highlight w:val="none"/>
        </w:rPr>
        <w:t>(1)服务总体方案（满分</w:t>
      </w:r>
      <w:r>
        <w:rPr>
          <w:rFonts w:hint="eastAsia" w:hAnsi="宋体" w:cs="宋体"/>
          <w:b/>
          <w:bCs/>
          <w:color w:val="auto"/>
          <w:sz w:val="21"/>
          <w:highlight w:val="none"/>
          <w:lang w:val="en-US" w:eastAsia="zh-CN"/>
        </w:rPr>
        <w:t>20</w:t>
      </w:r>
      <w:r>
        <w:rPr>
          <w:rFonts w:hint="eastAsia" w:hAnsi="宋体" w:cs="宋体"/>
          <w:b/>
          <w:bCs/>
          <w:color w:val="auto"/>
          <w:sz w:val="21"/>
          <w:highlight w:val="none"/>
        </w:rPr>
        <w:t>分）</w:t>
      </w:r>
    </w:p>
    <w:p>
      <w:pPr>
        <w:pStyle w:val="215"/>
        <w:spacing w:line="440" w:lineRule="exact"/>
        <w:ind w:firstLine="445"/>
        <w:rPr>
          <w:rFonts w:hint="eastAsia" w:hAnsi="宋体" w:cs="宋体"/>
          <w:b w:val="0"/>
          <w:bCs w:val="0"/>
          <w:color w:val="auto"/>
          <w:sz w:val="21"/>
          <w:highlight w:val="none"/>
        </w:rPr>
      </w:pPr>
      <w:r>
        <w:rPr>
          <w:rFonts w:hint="eastAsia" w:hAnsi="宋体" w:cs="宋体"/>
          <w:b w:val="0"/>
          <w:bCs w:val="0"/>
          <w:color w:val="auto"/>
          <w:sz w:val="21"/>
          <w:highlight w:val="none"/>
        </w:rPr>
        <w:t>由评标小组成员根据供应商提供的服务总体方案确定各供应商所属档次并打分。</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一档（0分）：未提供服务总体方案或提供的服务总体方案与本项目不相符；</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二档（5分）：对管理系统有基本的了解，服务总体方案的总体服务内容不够全面，方案总体逻辑结构不够清晰；</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三档（10分）：对本项目的管理系统有一定的了解，提供的服务总体方案维护思路、难点、特点、关键点描述较清晰，满足项目技术要求；</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四档（15分）：对本项目的管理系统的特点了解较全面，提供的服务总体方案维护思路、难点、特点、关键点描述清晰，提出的服务技术方案针对性强。承诺的响应时间、重要时期保障服务、例行检查方案、保障服务方案内容详实，定期预防性检查、故障处理措施可操作性强；</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五档（</w:t>
      </w:r>
      <w:r>
        <w:rPr>
          <w:rFonts w:hint="eastAsia" w:hAnsi="宋体" w:cs="宋体"/>
          <w:b w:val="0"/>
          <w:bCs w:val="0"/>
          <w:color w:val="auto"/>
          <w:sz w:val="21"/>
          <w:highlight w:val="none"/>
          <w:lang w:val="en-US" w:eastAsia="zh-CN"/>
        </w:rPr>
        <w:t>20</w:t>
      </w:r>
      <w:r>
        <w:rPr>
          <w:rFonts w:hint="eastAsia" w:hAnsi="宋体" w:cs="宋体"/>
          <w:b w:val="0"/>
          <w:bCs w:val="0"/>
          <w:color w:val="auto"/>
          <w:sz w:val="21"/>
          <w:highlight w:val="none"/>
        </w:rPr>
        <w:t>分）：满足四档的基础上，提供的服务技术方案详细完善，管理流程清晰到位，有符合需求特点的服务监督及保障机制。承诺的响应时间、安全评估服务、例行检查方案情况等内容详细，保障服务方案能有效保障项目的整体实施；制定有定期预防性检查、故障处理措施，有针对重要时期保障措施、人员保障预案、资源协调预案，与服务对象的工作衔接能有效的实施维护工作。</w:t>
      </w:r>
    </w:p>
    <w:p>
      <w:pPr>
        <w:pStyle w:val="23"/>
        <w:spacing w:line="440" w:lineRule="exact"/>
        <w:ind w:firstLine="420"/>
        <w:rPr>
          <w:rFonts w:hint="eastAsia" w:hAnsi="宋体" w:cs="宋体"/>
          <w:b/>
          <w:bCs/>
          <w:color w:val="auto"/>
          <w:sz w:val="21"/>
          <w:highlight w:val="none"/>
        </w:rPr>
      </w:pPr>
      <w:r>
        <w:rPr>
          <w:rFonts w:hint="eastAsia" w:hAnsi="宋体" w:cs="宋体"/>
          <w:b/>
          <w:bCs/>
          <w:color w:val="auto"/>
          <w:sz w:val="21"/>
          <w:highlight w:val="none"/>
        </w:rPr>
        <w:t>(2)运维服务方案（满分20分）</w:t>
      </w:r>
    </w:p>
    <w:p>
      <w:pPr>
        <w:pStyle w:val="215"/>
        <w:spacing w:line="440" w:lineRule="exact"/>
        <w:ind w:firstLine="445"/>
        <w:rPr>
          <w:rFonts w:hint="eastAsia" w:hAnsi="宋体" w:cs="宋体"/>
          <w:b w:val="0"/>
          <w:bCs w:val="0"/>
          <w:color w:val="auto"/>
          <w:sz w:val="21"/>
          <w:highlight w:val="none"/>
        </w:rPr>
      </w:pPr>
      <w:bookmarkStart w:id="92" w:name="OLE_LINK29"/>
      <w:r>
        <w:rPr>
          <w:rFonts w:hint="eastAsia" w:hAnsi="宋体" w:cs="宋体"/>
          <w:b w:val="0"/>
          <w:bCs w:val="0"/>
          <w:color w:val="auto"/>
          <w:sz w:val="21"/>
          <w:highlight w:val="none"/>
        </w:rPr>
        <w:t>由评标小组成员</w:t>
      </w:r>
      <w:bookmarkEnd w:id="92"/>
      <w:r>
        <w:rPr>
          <w:rFonts w:hint="eastAsia" w:hAnsi="宋体" w:cs="宋体"/>
          <w:b w:val="0"/>
          <w:bCs w:val="0"/>
          <w:color w:val="auto"/>
          <w:sz w:val="21"/>
          <w:highlight w:val="none"/>
        </w:rPr>
        <w:t>根据供应商提供的运维服务方案确定各供应商所属档次并打分。</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一档（0分）：未提供运维服务方案或提供的方案与本项目不相符；</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二档（5分）：运维服务方案对于开发语言选择、服务器部署、与相关联系统接口数据流设计等系统运维工作内容有合理的叙述，服务内容符合采购需求；</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三档（10分）：运维服务方案包含开发语言选择、服务器部署、与相关联系统接口数据流设计系统日常运行维护、系统数据维护、维护措施、质量保证措施、项目实施计划；</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四档（15分）：运维服务方案有完善的系统日常运行维护、系统数据维护、维护措施、质量保证措施、项目实施计划，维护人员安排一览表、应急措施，有完善的维保工具设备；</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五档（20分）：在满足四档的基础上，针对本项目提供的运维服务方案包含详实的运维服务计划及内容、服务流程及方式，日常维护方案条理清晰，异常数据治理、定位故障等系统问题的措施合理，针对维护期间采购人关于需求改造的要求能提供有相应的承诺及实现功能要求的模块及功能改造方案；具有完善的信息系统运维管理体系，提供解决建议性方案且符合项目特点，对各项关键工作有合理安排。在服务区域常驻有2名技术人员及以上的，提供拟投入人员的在职证明复印件（如社保、劳动合同等）并加盖供应商公章。</w:t>
      </w:r>
    </w:p>
    <w:p>
      <w:pPr>
        <w:pStyle w:val="23"/>
        <w:spacing w:line="440" w:lineRule="exact"/>
        <w:ind w:firstLine="420"/>
        <w:rPr>
          <w:rFonts w:hint="eastAsia" w:hAnsi="宋体" w:cs="宋体"/>
          <w:b/>
          <w:bCs/>
          <w:color w:val="auto"/>
          <w:sz w:val="21"/>
          <w:highlight w:val="none"/>
        </w:rPr>
      </w:pPr>
      <w:r>
        <w:rPr>
          <w:rFonts w:hint="eastAsia" w:hAnsi="宋体" w:cs="宋体"/>
          <w:b/>
          <w:bCs/>
          <w:color w:val="auto"/>
          <w:sz w:val="21"/>
          <w:highlight w:val="none"/>
        </w:rPr>
        <w:t>(3)</w:t>
      </w:r>
      <w:bookmarkStart w:id="93" w:name="OLE_LINK36"/>
      <w:r>
        <w:rPr>
          <w:rFonts w:hint="eastAsia" w:hAnsi="宋体" w:cs="宋体"/>
          <w:b/>
          <w:bCs/>
          <w:color w:val="auto"/>
          <w:sz w:val="21"/>
          <w:highlight w:val="none"/>
          <w:lang w:eastAsia="zh-CN"/>
        </w:rPr>
        <w:t>农情进度报表配置</w:t>
      </w:r>
      <w:bookmarkEnd w:id="93"/>
      <w:r>
        <w:rPr>
          <w:rFonts w:hint="eastAsia" w:hAnsi="宋体" w:cs="宋体"/>
          <w:b/>
          <w:bCs/>
          <w:color w:val="auto"/>
          <w:sz w:val="21"/>
          <w:highlight w:val="none"/>
        </w:rPr>
        <w:t>方案（满分</w:t>
      </w:r>
      <w:r>
        <w:rPr>
          <w:rFonts w:hint="eastAsia" w:hAnsi="宋体" w:cs="宋体"/>
          <w:b/>
          <w:bCs/>
          <w:color w:val="auto"/>
          <w:sz w:val="21"/>
          <w:highlight w:val="none"/>
          <w:lang w:val="en-US" w:eastAsia="zh-CN"/>
        </w:rPr>
        <w:t>20</w:t>
      </w:r>
      <w:r>
        <w:rPr>
          <w:rFonts w:hint="eastAsia" w:hAnsi="宋体" w:cs="宋体"/>
          <w:b/>
          <w:bCs/>
          <w:color w:val="auto"/>
          <w:sz w:val="21"/>
          <w:highlight w:val="none"/>
        </w:rPr>
        <w:t>分）</w:t>
      </w:r>
    </w:p>
    <w:p>
      <w:pPr>
        <w:pStyle w:val="23"/>
        <w:spacing w:line="440" w:lineRule="exact"/>
        <w:ind w:firstLine="420"/>
        <w:rPr>
          <w:rFonts w:hint="eastAsia" w:hAnsi="宋体" w:cs="宋体"/>
          <w:b w:val="0"/>
          <w:bCs w:val="0"/>
          <w:color w:val="auto"/>
          <w:sz w:val="21"/>
          <w:highlight w:val="none"/>
        </w:rPr>
      </w:pPr>
      <w:bookmarkStart w:id="94" w:name="OLE_LINK65"/>
      <w:r>
        <w:rPr>
          <w:rFonts w:hint="eastAsia" w:hAnsi="宋体" w:cs="宋体"/>
          <w:b w:val="0"/>
          <w:bCs w:val="0"/>
          <w:color w:val="auto"/>
          <w:sz w:val="21"/>
          <w:highlight w:val="none"/>
        </w:rPr>
        <w:t>由评标小组成员</w:t>
      </w:r>
      <w:bookmarkEnd w:id="94"/>
      <w:r>
        <w:rPr>
          <w:rFonts w:hint="eastAsia" w:hAnsi="宋体" w:cs="宋体"/>
          <w:b w:val="0"/>
          <w:bCs w:val="0"/>
          <w:color w:val="auto"/>
          <w:sz w:val="21"/>
          <w:highlight w:val="none"/>
        </w:rPr>
        <w:t>根据供应商提供的</w:t>
      </w:r>
      <w:r>
        <w:rPr>
          <w:rFonts w:hint="eastAsia" w:hAnsi="宋体" w:cs="宋体"/>
          <w:b w:val="0"/>
          <w:bCs w:val="0"/>
          <w:color w:val="auto"/>
          <w:sz w:val="21"/>
          <w:highlight w:val="none"/>
          <w:lang w:eastAsia="zh-CN"/>
        </w:rPr>
        <w:t>农情进度报表配置</w:t>
      </w:r>
      <w:r>
        <w:rPr>
          <w:rFonts w:hint="eastAsia" w:hAnsi="宋体" w:cs="宋体"/>
          <w:b w:val="0"/>
          <w:bCs w:val="0"/>
          <w:color w:val="auto"/>
          <w:sz w:val="21"/>
          <w:highlight w:val="none"/>
        </w:rPr>
        <w:t>方案</w:t>
      </w:r>
      <w:bookmarkStart w:id="95" w:name="OLE_LINK66"/>
      <w:r>
        <w:rPr>
          <w:rFonts w:hint="eastAsia" w:hAnsi="宋体" w:cs="宋体"/>
          <w:b w:val="0"/>
          <w:bCs w:val="0"/>
          <w:color w:val="auto"/>
          <w:sz w:val="21"/>
          <w:highlight w:val="none"/>
        </w:rPr>
        <w:t>确定各供应商所属档次并打分。</w:t>
      </w:r>
      <w:bookmarkEnd w:id="95"/>
    </w:p>
    <w:p>
      <w:pPr>
        <w:pStyle w:val="23"/>
        <w:spacing w:line="440" w:lineRule="exact"/>
        <w:ind w:firstLine="420"/>
        <w:rPr>
          <w:rFonts w:hint="eastAsia" w:hAnsi="宋体" w:cs="宋体"/>
          <w:b w:val="0"/>
          <w:bCs w:val="0"/>
          <w:color w:val="auto"/>
          <w:sz w:val="21"/>
          <w:highlight w:val="none"/>
        </w:rPr>
      </w:pPr>
      <w:bookmarkStart w:id="96" w:name="OLE_LINK67"/>
      <w:r>
        <w:rPr>
          <w:rFonts w:hint="eastAsia" w:hAnsi="宋体" w:cs="宋体"/>
          <w:b w:val="0"/>
          <w:bCs w:val="0"/>
          <w:color w:val="auto"/>
          <w:sz w:val="21"/>
          <w:highlight w:val="none"/>
        </w:rPr>
        <w:t>一档（0分）：未提</w:t>
      </w:r>
      <w:r>
        <w:rPr>
          <w:rFonts w:hint="eastAsia" w:hAnsi="宋体" w:cs="宋体"/>
          <w:b w:val="0"/>
          <w:bCs w:val="0"/>
          <w:color w:val="auto"/>
          <w:sz w:val="21"/>
          <w:highlight w:val="none"/>
          <w:lang w:eastAsia="zh-CN"/>
        </w:rPr>
        <w:t>农情进度报表配置</w:t>
      </w:r>
      <w:r>
        <w:rPr>
          <w:rFonts w:hint="eastAsia" w:hAnsi="宋体" w:cs="宋体"/>
          <w:b w:val="0"/>
          <w:bCs w:val="0"/>
          <w:color w:val="auto"/>
          <w:sz w:val="21"/>
          <w:highlight w:val="none"/>
        </w:rPr>
        <w:t>方案或提供的方案与本项目不相符；</w:t>
      </w:r>
    </w:p>
    <w:bookmarkEnd w:id="96"/>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二档（5分）：提供有</w:t>
      </w:r>
      <w:r>
        <w:rPr>
          <w:rFonts w:hint="eastAsia" w:hAnsi="宋体" w:cs="宋体"/>
          <w:b w:val="0"/>
          <w:bCs w:val="0"/>
          <w:color w:val="auto"/>
          <w:sz w:val="21"/>
          <w:highlight w:val="none"/>
          <w:lang w:eastAsia="zh-CN"/>
        </w:rPr>
        <w:t>农情进度报表配置</w:t>
      </w:r>
      <w:r>
        <w:rPr>
          <w:rFonts w:hint="eastAsia" w:hAnsi="宋体" w:cs="宋体"/>
          <w:b w:val="0"/>
          <w:bCs w:val="0"/>
          <w:color w:val="auto"/>
          <w:sz w:val="21"/>
          <w:highlight w:val="none"/>
        </w:rPr>
        <w:t>方案，符合本项目实际情况，有较完整</w:t>
      </w:r>
      <w:r>
        <w:rPr>
          <w:rFonts w:hint="eastAsia" w:hAnsi="宋体" w:cs="宋体"/>
          <w:b w:val="0"/>
          <w:bCs w:val="0"/>
          <w:color w:val="auto"/>
          <w:sz w:val="21"/>
          <w:highlight w:val="none"/>
          <w:lang w:eastAsia="zh-CN"/>
        </w:rPr>
        <w:t>的配置流程</w:t>
      </w:r>
      <w:r>
        <w:rPr>
          <w:rFonts w:hint="eastAsia" w:hAnsi="宋体" w:cs="宋体"/>
          <w:b w:val="0"/>
          <w:bCs w:val="0"/>
          <w:color w:val="auto"/>
          <w:sz w:val="21"/>
          <w:highlight w:val="none"/>
        </w:rPr>
        <w:t>；</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三档（10分）：</w:t>
      </w:r>
      <w:bookmarkStart w:id="97" w:name="OLE_LINK37"/>
      <w:r>
        <w:rPr>
          <w:rFonts w:hint="eastAsia" w:hAnsi="宋体" w:cs="宋体"/>
          <w:b w:val="0"/>
          <w:bCs w:val="0"/>
          <w:color w:val="auto"/>
          <w:sz w:val="21"/>
          <w:highlight w:val="none"/>
          <w:lang w:eastAsia="zh-CN"/>
        </w:rPr>
        <w:t>农情进度报表配置</w:t>
      </w:r>
      <w:r>
        <w:rPr>
          <w:rFonts w:hint="eastAsia" w:hAnsi="宋体" w:cs="宋体"/>
          <w:b w:val="0"/>
          <w:bCs w:val="0"/>
          <w:color w:val="auto"/>
          <w:sz w:val="21"/>
          <w:highlight w:val="none"/>
        </w:rPr>
        <w:t>方案</w:t>
      </w:r>
      <w:bookmarkEnd w:id="97"/>
      <w:r>
        <w:rPr>
          <w:rFonts w:hint="eastAsia" w:hAnsi="宋体" w:cs="宋体"/>
          <w:b w:val="0"/>
          <w:bCs w:val="0"/>
          <w:color w:val="auto"/>
          <w:sz w:val="21"/>
          <w:highlight w:val="none"/>
        </w:rPr>
        <w:t>具体详实，</w:t>
      </w:r>
      <w:bookmarkStart w:id="98" w:name="OLE_LINK57"/>
      <w:r>
        <w:rPr>
          <w:rFonts w:hint="eastAsia" w:hAnsi="宋体" w:cs="宋体"/>
          <w:b w:val="0"/>
          <w:bCs w:val="0"/>
          <w:color w:val="auto"/>
          <w:sz w:val="21"/>
          <w:highlight w:val="none"/>
        </w:rPr>
        <w:t>对</w:t>
      </w:r>
      <w:r>
        <w:rPr>
          <w:rFonts w:hint="eastAsia" w:hAnsi="宋体" w:cs="宋体"/>
          <w:b w:val="0"/>
          <w:bCs w:val="0"/>
          <w:color w:val="auto"/>
          <w:sz w:val="21"/>
          <w:highlight w:val="none"/>
          <w:lang w:eastAsia="zh-CN"/>
        </w:rPr>
        <w:t>配置流程</w:t>
      </w:r>
      <w:r>
        <w:rPr>
          <w:rFonts w:hint="eastAsia" w:hAnsi="宋体" w:cs="宋体"/>
          <w:b w:val="0"/>
          <w:bCs w:val="0"/>
          <w:color w:val="auto"/>
          <w:sz w:val="21"/>
          <w:highlight w:val="none"/>
        </w:rPr>
        <w:t>有较详细描述</w:t>
      </w:r>
      <w:bookmarkEnd w:id="98"/>
      <w:r>
        <w:rPr>
          <w:rFonts w:hint="eastAsia" w:hAnsi="宋体" w:cs="宋体"/>
          <w:b w:val="0"/>
          <w:bCs w:val="0"/>
          <w:color w:val="auto"/>
          <w:sz w:val="21"/>
          <w:highlight w:val="none"/>
        </w:rPr>
        <w:t>；</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四档（15分）：</w:t>
      </w:r>
      <w:r>
        <w:rPr>
          <w:rFonts w:hint="eastAsia" w:hAnsi="宋体" w:cs="宋体"/>
          <w:b w:val="0"/>
          <w:bCs w:val="0"/>
          <w:color w:val="auto"/>
          <w:sz w:val="21"/>
          <w:highlight w:val="none"/>
          <w:lang w:eastAsia="zh-CN"/>
        </w:rPr>
        <w:t>农情进度报表配置</w:t>
      </w:r>
      <w:r>
        <w:rPr>
          <w:rFonts w:hint="eastAsia" w:hAnsi="宋体" w:cs="宋体"/>
          <w:b w:val="0"/>
          <w:bCs w:val="0"/>
          <w:color w:val="auto"/>
          <w:sz w:val="21"/>
          <w:highlight w:val="none"/>
        </w:rPr>
        <w:t>方案</w:t>
      </w:r>
      <w:r>
        <w:rPr>
          <w:rFonts w:hint="eastAsia" w:hAnsi="宋体" w:cs="宋体"/>
          <w:b w:val="0"/>
          <w:bCs w:val="0"/>
          <w:color w:val="auto"/>
          <w:sz w:val="21"/>
          <w:highlight w:val="none"/>
          <w:lang w:eastAsia="zh-CN"/>
        </w:rPr>
        <w:t>贴合系统实际，</w:t>
      </w:r>
      <w:bookmarkStart w:id="99" w:name="OLE_LINK58"/>
      <w:r>
        <w:rPr>
          <w:rFonts w:hint="eastAsia" w:hAnsi="宋体" w:cs="宋体"/>
          <w:b w:val="0"/>
          <w:bCs w:val="0"/>
          <w:color w:val="auto"/>
          <w:sz w:val="21"/>
          <w:highlight w:val="none"/>
          <w:lang w:eastAsia="zh-CN"/>
        </w:rPr>
        <w:t>详细描述配置流程、测试流程</w:t>
      </w:r>
      <w:bookmarkEnd w:id="99"/>
      <w:r>
        <w:rPr>
          <w:rFonts w:hint="eastAsia" w:hAnsi="宋体" w:cs="宋体"/>
          <w:b w:val="0"/>
          <w:bCs w:val="0"/>
          <w:color w:val="auto"/>
          <w:sz w:val="21"/>
          <w:highlight w:val="none"/>
        </w:rPr>
        <w:t>。</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lang w:eastAsia="zh-CN"/>
        </w:rPr>
        <w:t>五</w:t>
      </w:r>
      <w:r>
        <w:rPr>
          <w:rFonts w:hint="eastAsia" w:hAnsi="宋体" w:cs="宋体"/>
          <w:b w:val="0"/>
          <w:bCs w:val="0"/>
          <w:color w:val="auto"/>
          <w:sz w:val="21"/>
          <w:highlight w:val="none"/>
        </w:rPr>
        <w:t>档（</w:t>
      </w:r>
      <w:r>
        <w:rPr>
          <w:rFonts w:hint="eastAsia" w:hAnsi="宋体" w:cs="宋体"/>
          <w:b w:val="0"/>
          <w:bCs w:val="0"/>
          <w:color w:val="auto"/>
          <w:sz w:val="21"/>
          <w:highlight w:val="none"/>
          <w:lang w:val="en-US" w:eastAsia="zh-CN"/>
        </w:rPr>
        <w:t>20</w:t>
      </w:r>
      <w:r>
        <w:rPr>
          <w:rFonts w:hint="eastAsia" w:hAnsi="宋体" w:cs="宋体"/>
          <w:b w:val="0"/>
          <w:bCs w:val="0"/>
          <w:color w:val="auto"/>
          <w:sz w:val="21"/>
          <w:highlight w:val="none"/>
        </w:rPr>
        <w:t>分）：</w:t>
      </w:r>
      <w:r>
        <w:rPr>
          <w:rFonts w:hint="eastAsia" w:hAnsi="宋体" w:cs="宋体"/>
          <w:b w:val="0"/>
          <w:bCs w:val="0"/>
          <w:color w:val="auto"/>
          <w:sz w:val="21"/>
          <w:highlight w:val="none"/>
          <w:lang w:eastAsia="zh-CN"/>
        </w:rPr>
        <w:t>农情进度报表配置</w:t>
      </w:r>
      <w:r>
        <w:rPr>
          <w:rFonts w:hint="eastAsia" w:hAnsi="宋体" w:cs="宋体"/>
          <w:b w:val="0"/>
          <w:bCs w:val="0"/>
          <w:color w:val="auto"/>
          <w:sz w:val="21"/>
          <w:highlight w:val="none"/>
        </w:rPr>
        <w:t>方案</w:t>
      </w:r>
      <w:r>
        <w:rPr>
          <w:rFonts w:hint="eastAsia" w:hAnsi="宋体" w:cs="宋体"/>
          <w:b w:val="0"/>
          <w:bCs w:val="0"/>
          <w:color w:val="auto"/>
          <w:sz w:val="21"/>
          <w:highlight w:val="none"/>
          <w:lang w:eastAsia="zh-CN"/>
        </w:rPr>
        <w:t>贴合系统实际，详细描述配置流程、测试流程，有</w:t>
      </w:r>
      <w:r>
        <w:rPr>
          <w:rFonts w:hint="eastAsia" w:hAnsi="宋体" w:cs="宋体"/>
          <w:b w:val="0"/>
          <w:bCs w:val="0"/>
          <w:color w:val="auto"/>
          <w:sz w:val="21"/>
          <w:highlight w:val="none"/>
          <w:lang w:val="en-US" w:eastAsia="zh-CN"/>
        </w:rPr>
        <w:t>1—2个配置案例，</w:t>
      </w:r>
      <w:r>
        <w:rPr>
          <w:rFonts w:hint="eastAsia" w:hAnsi="宋体" w:cs="宋体"/>
          <w:b w:val="0"/>
          <w:bCs w:val="0"/>
          <w:color w:val="auto"/>
          <w:sz w:val="21"/>
          <w:highlight w:val="none"/>
          <w:lang w:eastAsia="zh-CN"/>
        </w:rPr>
        <w:t>逻辑设置</w:t>
      </w:r>
      <w:r>
        <w:rPr>
          <w:rFonts w:hint="eastAsia" w:hAnsi="宋体" w:cs="宋体"/>
          <w:b w:val="0"/>
          <w:bCs w:val="0"/>
          <w:color w:val="auto"/>
          <w:sz w:val="21"/>
          <w:highlight w:val="none"/>
        </w:rPr>
        <w:t>合理可行。</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（4）售后服务方案（满分15分）</w:t>
      </w:r>
    </w:p>
    <w:p>
      <w:pPr>
        <w:pStyle w:val="215"/>
        <w:spacing w:line="440" w:lineRule="exact"/>
        <w:ind w:firstLine="445"/>
        <w:rPr>
          <w:color w:val="auto"/>
          <w:sz w:val="21"/>
          <w:szCs w:val="21"/>
          <w:highlight w:val="none"/>
          <w:lang w:eastAsia="zh-CN"/>
        </w:rPr>
      </w:pPr>
      <w:r>
        <w:rPr>
          <w:rFonts w:hint="eastAsia" w:hAnsi="宋体" w:cs="宋体"/>
          <w:b w:val="0"/>
          <w:bCs w:val="0"/>
          <w:color w:val="auto"/>
          <w:sz w:val="21"/>
          <w:highlight w:val="none"/>
        </w:rPr>
        <w:t>由评标小组成员</w:t>
      </w:r>
      <w:r>
        <w:rPr>
          <w:rFonts w:hint="eastAsia"/>
          <w:color w:val="auto"/>
          <w:spacing w:val="12"/>
          <w:sz w:val="21"/>
          <w:szCs w:val="21"/>
          <w:highlight w:val="none"/>
          <w:lang w:eastAsia="zh-CN"/>
        </w:rPr>
        <w:t>根据供应商的</w:t>
      </w:r>
      <w:bookmarkStart w:id="100" w:name="OLE_LINK68"/>
      <w:r>
        <w:rPr>
          <w:rFonts w:hint="eastAsia"/>
          <w:color w:val="auto"/>
          <w:spacing w:val="12"/>
          <w:sz w:val="21"/>
          <w:szCs w:val="21"/>
          <w:highlight w:val="none"/>
          <w:lang w:eastAsia="zh-CN"/>
        </w:rPr>
        <w:t>售后服务方案</w:t>
      </w:r>
      <w:bookmarkEnd w:id="100"/>
      <w:bookmarkStart w:id="101" w:name="OLE_LINK70"/>
      <w:r>
        <w:rPr>
          <w:rFonts w:hint="eastAsia" w:hAnsi="宋体" w:cs="宋体"/>
          <w:b w:val="0"/>
          <w:bCs w:val="0"/>
          <w:color w:val="auto"/>
          <w:sz w:val="21"/>
          <w:highlight w:val="none"/>
        </w:rPr>
        <w:t>确定各供应商所属档次并打分。</w:t>
      </w:r>
    </w:p>
    <w:bookmarkEnd w:id="101"/>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一档（0分）：未提</w:t>
      </w:r>
      <w:r>
        <w:rPr>
          <w:rFonts w:hint="eastAsia"/>
          <w:color w:val="auto"/>
          <w:spacing w:val="12"/>
          <w:sz w:val="21"/>
          <w:szCs w:val="21"/>
          <w:highlight w:val="none"/>
          <w:lang w:eastAsia="zh-CN"/>
        </w:rPr>
        <w:t>售后服务方案</w:t>
      </w:r>
      <w:r>
        <w:rPr>
          <w:rFonts w:hint="eastAsia" w:hAnsi="宋体" w:cs="宋体"/>
          <w:b w:val="0"/>
          <w:bCs w:val="0"/>
          <w:color w:val="auto"/>
          <w:sz w:val="21"/>
          <w:highlight w:val="none"/>
        </w:rPr>
        <w:t>或提供的方案与本项目不相符；</w:t>
      </w:r>
    </w:p>
    <w:p>
      <w:pPr>
        <w:pStyle w:val="215"/>
        <w:spacing w:line="440" w:lineRule="exact"/>
        <w:ind w:firstLine="423"/>
        <w:rPr>
          <w:color w:val="auto"/>
          <w:sz w:val="21"/>
          <w:szCs w:val="21"/>
          <w:highlight w:val="none"/>
          <w:lang w:eastAsia="zh-CN"/>
        </w:rPr>
      </w:pPr>
      <w:r>
        <w:rPr>
          <w:rFonts w:hint="eastAsia"/>
          <w:color w:val="auto"/>
          <w:spacing w:val="8"/>
          <w:sz w:val="21"/>
          <w:szCs w:val="21"/>
          <w:highlight w:val="none"/>
          <w:lang w:eastAsia="zh-CN"/>
        </w:rPr>
        <w:t>二档（5分</w:t>
      </w:r>
      <w:r>
        <w:rPr>
          <w:rFonts w:hint="eastAsia"/>
          <w:color w:val="auto"/>
          <w:spacing w:val="16"/>
          <w:sz w:val="21"/>
          <w:szCs w:val="21"/>
          <w:highlight w:val="none"/>
          <w:lang w:eastAsia="zh-CN"/>
        </w:rPr>
        <w:t>）：</w:t>
      </w:r>
      <w:r>
        <w:rPr>
          <w:rFonts w:hint="eastAsia"/>
          <w:color w:val="auto"/>
          <w:spacing w:val="8"/>
          <w:sz w:val="21"/>
          <w:szCs w:val="21"/>
          <w:highlight w:val="none"/>
          <w:lang w:eastAsia="zh-CN"/>
        </w:rPr>
        <w:t>服务方案基本满足采购文件要求，提</w:t>
      </w:r>
      <w:r>
        <w:rPr>
          <w:rFonts w:hint="eastAsia"/>
          <w:color w:val="auto"/>
          <w:spacing w:val="7"/>
          <w:sz w:val="21"/>
          <w:szCs w:val="21"/>
          <w:highlight w:val="none"/>
          <w:lang w:eastAsia="zh-CN"/>
        </w:rPr>
        <w:t>供简单的服务质量措施和承诺，有简单的后续服务承诺，</w:t>
      </w:r>
      <w:r>
        <w:rPr>
          <w:rFonts w:hint="eastAsia"/>
          <w:color w:val="auto"/>
          <w:spacing w:val="9"/>
          <w:sz w:val="21"/>
          <w:szCs w:val="21"/>
          <w:highlight w:val="none"/>
          <w:lang w:eastAsia="zh-CN"/>
        </w:rPr>
        <w:t>服务机构体系和保障措施简单，基本满足项目需求。</w:t>
      </w:r>
    </w:p>
    <w:p>
      <w:pPr>
        <w:pStyle w:val="215"/>
        <w:spacing w:line="440" w:lineRule="exact"/>
        <w:ind w:firstLine="423"/>
        <w:rPr>
          <w:color w:val="auto"/>
          <w:sz w:val="21"/>
          <w:szCs w:val="21"/>
          <w:highlight w:val="none"/>
          <w:lang w:eastAsia="zh-CN"/>
        </w:rPr>
      </w:pPr>
      <w:r>
        <w:rPr>
          <w:rFonts w:hint="eastAsia"/>
          <w:color w:val="auto"/>
          <w:spacing w:val="8"/>
          <w:sz w:val="21"/>
          <w:szCs w:val="21"/>
          <w:highlight w:val="none"/>
          <w:lang w:eastAsia="zh-CN"/>
        </w:rPr>
        <w:t>三档（10分</w:t>
      </w:r>
      <w:r>
        <w:rPr>
          <w:rFonts w:hint="eastAsia"/>
          <w:color w:val="auto"/>
          <w:spacing w:val="16"/>
          <w:sz w:val="21"/>
          <w:szCs w:val="21"/>
          <w:highlight w:val="none"/>
          <w:lang w:eastAsia="zh-CN"/>
        </w:rPr>
        <w:t>）：</w:t>
      </w:r>
      <w:r>
        <w:rPr>
          <w:rFonts w:hint="eastAsia"/>
          <w:color w:val="auto"/>
          <w:spacing w:val="8"/>
          <w:sz w:val="21"/>
          <w:szCs w:val="21"/>
          <w:highlight w:val="none"/>
          <w:lang w:eastAsia="zh-CN"/>
        </w:rPr>
        <w:t>服务方案完全满足采购文件要求，提</w:t>
      </w:r>
      <w:r>
        <w:rPr>
          <w:rFonts w:hint="eastAsia"/>
          <w:color w:val="auto"/>
          <w:spacing w:val="7"/>
          <w:sz w:val="21"/>
          <w:szCs w:val="21"/>
          <w:highlight w:val="none"/>
          <w:lang w:eastAsia="zh-CN"/>
        </w:rPr>
        <w:t>供详细的服务质量措施和承诺，有详细的后续服务承诺，</w:t>
      </w:r>
      <w:r>
        <w:rPr>
          <w:rFonts w:hint="eastAsia"/>
          <w:color w:val="auto"/>
          <w:spacing w:val="8"/>
          <w:sz w:val="21"/>
          <w:szCs w:val="21"/>
          <w:highlight w:val="none"/>
          <w:lang w:eastAsia="zh-CN"/>
        </w:rPr>
        <w:t>服务机构体系和保障措施具体、基本可行。</w:t>
      </w:r>
    </w:p>
    <w:p>
      <w:pPr>
        <w:pStyle w:val="23"/>
        <w:spacing w:line="440" w:lineRule="exact"/>
        <w:ind w:firstLine="420"/>
        <w:rPr>
          <w:rFonts w:hAnsi="宋体" w:cs="宋体"/>
          <w:color w:val="auto"/>
          <w:sz w:val="21"/>
          <w:highlight w:val="none"/>
        </w:rPr>
      </w:pPr>
      <w:r>
        <w:rPr>
          <w:rFonts w:hint="eastAsia" w:hAnsi="宋体" w:cs="宋体"/>
          <w:color w:val="auto"/>
          <w:spacing w:val="4"/>
          <w:sz w:val="21"/>
          <w:highlight w:val="none"/>
          <w:lang w:eastAsia="zh-CN"/>
        </w:rPr>
        <w:t>四</w:t>
      </w:r>
      <w:r>
        <w:rPr>
          <w:rFonts w:hint="eastAsia" w:hAnsi="宋体" w:cs="宋体"/>
          <w:color w:val="auto"/>
          <w:spacing w:val="4"/>
          <w:sz w:val="21"/>
          <w:highlight w:val="none"/>
        </w:rPr>
        <w:t>档（15分</w:t>
      </w:r>
      <w:r>
        <w:rPr>
          <w:rFonts w:hint="eastAsia" w:hAnsi="宋体" w:cs="宋体"/>
          <w:color w:val="auto"/>
          <w:spacing w:val="5"/>
          <w:sz w:val="21"/>
          <w:highlight w:val="none"/>
        </w:rPr>
        <w:t>）：</w:t>
      </w:r>
      <w:r>
        <w:rPr>
          <w:rFonts w:hint="eastAsia" w:hAnsi="宋体" w:cs="宋体"/>
          <w:color w:val="auto"/>
          <w:spacing w:val="4"/>
          <w:sz w:val="21"/>
          <w:highlight w:val="none"/>
        </w:rPr>
        <w:t>服务方案完善可行，目标明确，内</w:t>
      </w:r>
      <w:r>
        <w:rPr>
          <w:rFonts w:hint="eastAsia" w:hAnsi="宋体" w:cs="宋体"/>
          <w:color w:val="auto"/>
          <w:spacing w:val="13"/>
          <w:sz w:val="21"/>
          <w:highlight w:val="none"/>
        </w:rPr>
        <w:t>容全面、措施得力，有优于采购文件要求的内容，能提供完善、可行、有针对性的服务质量措施和承诺，有详</w:t>
      </w:r>
      <w:r>
        <w:rPr>
          <w:rFonts w:hint="eastAsia" w:hAnsi="宋体" w:cs="宋体"/>
          <w:color w:val="auto"/>
          <w:spacing w:val="7"/>
          <w:sz w:val="21"/>
          <w:highlight w:val="none"/>
        </w:rPr>
        <w:t>细完善的后续服务承诺，服务机构体系和保障措施完善、可行合理，对本项目的实际后续服务保障工作切实有效，</w:t>
      </w:r>
      <w:r>
        <w:rPr>
          <w:rFonts w:hint="eastAsia" w:hAnsi="宋体" w:cs="宋体"/>
          <w:color w:val="auto"/>
          <w:spacing w:val="5"/>
          <w:sz w:val="21"/>
          <w:highlight w:val="none"/>
        </w:rPr>
        <w:t>有针对性</w:t>
      </w:r>
      <w:r>
        <w:rPr>
          <w:rFonts w:hint="eastAsia" w:hAnsi="宋体" w:cs="宋体"/>
          <w:color w:val="auto"/>
          <w:sz w:val="21"/>
          <w:highlight w:val="none"/>
        </w:rPr>
        <w:t>。</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3、商务分………………………………………………………………………………15分</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lang w:eastAsia="zh-CN"/>
        </w:rPr>
        <w:t>（</w:t>
      </w:r>
      <w:r>
        <w:rPr>
          <w:rFonts w:hint="eastAsia" w:hAnsi="宋体" w:cs="宋体"/>
          <w:b w:val="0"/>
          <w:bCs w:val="0"/>
          <w:color w:val="auto"/>
          <w:sz w:val="21"/>
          <w:highlight w:val="none"/>
          <w:lang w:val="en-US" w:eastAsia="zh-CN"/>
        </w:rPr>
        <w:t>1</w:t>
      </w:r>
      <w:r>
        <w:rPr>
          <w:rFonts w:hint="eastAsia" w:hAnsi="宋体" w:cs="宋体"/>
          <w:b w:val="0"/>
          <w:bCs w:val="0"/>
          <w:color w:val="auto"/>
          <w:sz w:val="21"/>
          <w:highlight w:val="none"/>
          <w:lang w:eastAsia="zh-CN"/>
        </w:rPr>
        <w:t>）</w:t>
      </w:r>
      <w:r>
        <w:rPr>
          <w:rFonts w:hint="eastAsia" w:hAnsi="宋体" w:cs="宋体"/>
          <w:b w:val="0"/>
          <w:bCs w:val="0"/>
          <w:color w:val="auto"/>
          <w:sz w:val="21"/>
          <w:highlight w:val="none"/>
        </w:rPr>
        <w:t>供应商自</w:t>
      </w:r>
      <w:r>
        <w:rPr>
          <w:rFonts w:hint="eastAsia" w:hAnsi="宋体" w:cs="宋体"/>
          <w:color w:val="auto"/>
          <w:sz w:val="21"/>
          <w:highlight w:val="none"/>
          <w:lang w:val="en-US" w:eastAsia="zh-CN"/>
        </w:rPr>
        <w:t>2022年1月1日</w:t>
      </w:r>
      <w:r>
        <w:rPr>
          <w:rFonts w:hint="eastAsia" w:hAnsi="宋体" w:cs="宋体"/>
          <w:b w:val="0"/>
          <w:bCs w:val="0"/>
          <w:color w:val="auto"/>
          <w:sz w:val="21"/>
          <w:highlight w:val="none"/>
        </w:rPr>
        <w:t>以来具有同类业绩材料，每有一项得</w:t>
      </w:r>
      <w:r>
        <w:rPr>
          <w:rFonts w:hint="eastAsia" w:hAnsi="宋体" w:cs="宋体"/>
          <w:b w:val="0"/>
          <w:bCs w:val="0"/>
          <w:color w:val="auto"/>
          <w:sz w:val="21"/>
          <w:highlight w:val="none"/>
          <w:lang w:val="en-US" w:eastAsia="zh-CN"/>
        </w:rPr>
        <w:t>2</w:t>
      </w:r>
      <w:r>
        <w:rPr>
          <w:rFonts w:hint="eastAsia" w:hAnsi="宋体" w:cs="宋体"/>
          <w:b w:val="0"/>
          <w:bCs w:val="0"/>
          <w:color w:val="auto"/>
          <w:sz w:val="21"/>
          <w:highlight w:val="none"/>
        </w:rPr>
        <w:t>分，满分</w:t>
      </w:r>
      <w:r>
        <w:rPr>
          <w:rFonts w:hint="eastAsia" w:hAnsi="宋体" w:cs="宋体"/>
          <w:b w:val="0"/>
          <w:bCs w:val="0"/>
          <w:color w:val="auto"/>
          <w:sz w:val="21"/>
          <w:highlight w:val="none"/>
          <w:lang w:val="en-US" w:eastAsia="zh-CN"/>
        </w:rPr>
        <w:t>6</w:t>
      </w:r>
      <w:r>
        <w:rPr>
          <w:rFonts w:hint="eastAsia" w:hAnsi="宋体" w:cs="宋体"/>
          <w:b w:val="0"/>
          <w:bCs w:val="0"/>
          <w:color w:val="auto"/>
          <w:sz w:val="21"/>
          <w:highlight w:val="none"/>
        </w:rPr>
        <w:t>分。（以开具发票或者中标（成交）通知书或合同复印件为准，并加盖供应商公章。）</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lang w:eastAsia="zh-CN"/>
        </w:rPr>
        <w:t>（</w:t>
      </w:r>
      <w:r>
        <w:rPr>
          <w:rFonts w:hint="eastAsia" w:hAnsi="宋体" w:cs="宋体"/>
          <w:b w:val="0"/>
          <w:bCs w:val="0"/>
          <w:color w:val="auto"/>
          <w:sz w:val="21"/>
          <w:highlight w:val="none"/>
          <w:lang w:val="en-US" w:eastAsia="zh-CN"/>
        </w:rPr>
        <w:t>2</w:t>
      </w:r>
      <w:r>
        <w:rPr>
          <w:rFonts w:hint="eastAsia" w:hAnsi="宋体" w:cs="宋体"/>
          <w:b w:val="0"/>
          <w:bCs w:val="0"/>
          <w:color w:val="auto"/>
          <w:sz w:val="21"/>
          <w:highlight w:val="none"/>
          <w:lang w:eastAsia="zh-CN"/>
        </w:rPr>
        <w:t>）</w:t>
      </w:r>
      <w:r>
        <w:rPr>
          <w:rFonts w:hint="eastAsia" w:hAnsi="宋体" w:cs="宋体"/>
          <w:b w:val="0"/>
          <w:bCs w:val="0"/>
          <w:color w:val="auto"/>
          <w:sz w:val="21"/>
          <w:highlight w:val="none"/>
        </w:rPr>
        <w:t>供应商具备ISO14001环境管理体系认证证书、ISO9001质量管理体系认证证书，每个认证证书得1分，满分2分。（需在响应文件中提供有效证书复印件，不提供，不得分）</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lang w:eastAsia="zh-CN"/>
        </w:rPr>
        <w:t>（</w:t>
      </w:r>
      <w:r>
        <w:rPr>
          <w:rFonts w:hint="eastAsia" w:hAnsi="宋体" w:cs="宋体"/>
          <w:b w:val="0"/>
          <w:bCs w:val="0"/>
          <w:color w:val="auto"/>
          <w:sz w:val="21"/>
          <w:highlight w:val="none"/>
          <w:lang w:val="en-US" w:eastAsia="zh-CN"/>
        </w:rPr>
        <w:t>3</w:t>
      </w:r>
      <w:r>
        <w:rPr>
          <w:rFonts w:hint="eastAsia" w:hAnsi="宋体" w:cs="宋体"/>
          <w:b w:val="0"/>
          <w:bCs w:val="0"/>
          <w:color w:val="auto"/>
          <w:sz w:val="21"/>
          <w:highlight w:val="none"/>
          <w:lang w:eastAsia="zh-CN"/>
        </w:rPr>
        <w:t>）</w:t>
      </w:r>
      <w:r>
        <w:rPr>
          <w:rFonts w:hint="eastAsia" w:hAnsi="宋体" w:cs="宋体"/>
          <w:b w:val="0"/>
          <w:bCs w:val="0"/>
          <w:color w:val="auto"/>
          <w:sz w:val="21"/>
          <w:highlight w:val="none"/>
        </w:rPr>
        <w:t>供应商具备ITSS运行维护服务能力成熟度模型证书，一级证书得3分，二级证书得2分，三级证书得1分，满分3分。（需在响应文件中提供有效证书复印件，不提供，不得分）。</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lang w:eastAsia="zh-CN"/>
        </w:rPr>
        <w:t>（</w:t>
      </w:r>
      <w:r>
        <w:rPr>
          <w:rFonts w:hint="eastAsia" w:hAnsi="宋体" w:cs="宋体"/>
          <w:b w:val="0"/>
          <w:bCs w:val="0"/>
          <w:color w:val="auto"/>
          <w:sz w:val="21"/>
          <w:highlight w:val="none"/>
          <w:lang w:val="en-US" w:eastAsia="zh-CN"/>
        </w:rPr>
        <w:t>4</w:t>
      </w:r>
      <w:r>
        <w:rPr>
          <w:rFonts w:hint="eastAsia" w:hAnsi="宋体" w:cs="宋体"/>
          <w:b w:val="0"/>
          <w:bCs w:val="0"/>
          <w:color w:val="auto"/>
          <w:sz w:val="21"/>
          <w:highlight w:val="none"/>
          <w:lang w:eastAsia="zh-CN"/>
        </w:rPr>
        <w:t>）</w:t>
      </w:r>
      <w:r>
        <w:rPr>
          <w:rFonts w:hint="eastAsia" w:hAnsi="宋体" w:cs="宋体"/>
          <w:b w:val="0"/>
          <w:bCs w:val="0"/>
          <w:color w:val="auto"/>
          <w:sz w:val="21"/>
          <w:highlight w:val="none"/>
        </w:rPr>
        <w:t>供应商具备ITSS云服务IAAS、SAAS能力标准评估证书，每项评估证书三级证书得1分，二级及以上证书得2分，满分4分。（需在响应文件中提供有效证书复印件，不提供，不得分）。</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总得分=1+2+3</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说明：上述评分标准中提及的证书、证件、证明、业绩材料等须提供有效的证书或证明材料扫描件或其他电子文件，并须加盖供应商CA电子签章，否则不予计分。</w:t>
      </w:r>
    </w:p>
    <w:bookmarkEnd w:id="89"/>
    <w:p>
      <w:pPr>
        <w:pStyle w:val="23"/>
        <w:spacing w:line="440" w:lineRule="exact"/>
        <w:ind w:firstLine="420"/>
        <w:rPr>
          <w:rFonts w:hAnsi="宋体" w:cs="宋体"/>
          <w:b/>
          <w:bCs/>
          <w:color w:val="auto"/>
          <w:sz w:val="21"/>
          <w:highlight w:val="none"/>
        </w:rPr>
      </w:pP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三、推荐及确定成交候选供应商原则</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由磋商小组根据综合评分情况，按照评审得分由高到低顺序推荐3名以上中标（成交）候选供应商，并编写评审报告。评审得分相同的，按照最后报价（不计算价格折扣）由低到高的顺序推荐。评审得分且最后报价（不计算价格折扣）相同的，按照技术指标优劣顺序推荐（按综合评分中服务水平、售后服务、履约能力、政策功能得分高低依次确定）。评审得分、最后报价（不计算价格折扣）、技术得分均相同的，由磋商小组随机抽取推荐。</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本项目确定一名成交供应商。采购单位应当确定磋商小组推荐排名第一的成交候选供应商为成交供应商。</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排名第一的中标（成交）候选人放弃中标、因不可抗力提出不能履行合同，或者招标文件规定应当提交履约保证金而在规定的期限内未能提交的，或因失信行为被取消中标候选人资格的，采购人可以确定排名第二的中标（成交）候选人为中标人，并依此类推。</w:t>
      </w:r>
    </w:p>
    <w:p>
      <w:pPr>
        <w:spacing w:line="44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本标项允许兼投兼中。供应商可以同时参与多个标项的竞标，并且可以同时中标多个标项</w:t>
      </w:r>
    </w:p>
    <w:p>
      <w:pPr>
        <w:spacing w:line="44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四、特别说明</w:t>
      </w:r>
    </w:p>
    <w:p>
      <w:pPr>
        <w:spacing w:line="440" w:lineRule="exact"/>
        <w:ind w:firstLine="411" w:firstLineChars="196"/>
        <w:rPr>
          <w:rFonts w:ascii="宋体" w:hAnsi="宋体" w:cs="宋体"/>
          <w:color w:val="auto"/>
          <w:szCs w:val="21"/>
          <w:highlight w:val="none"/>
        </w:rPr>
        <w:sectPr>
          <w:pgSz w:w="11906" w:h="16838"/>
          <w:pgMar w:top="1134" w:right="1247" w:bottom="1134" w:left="1247" w:header="851" w:footer="1310" w:gutter="0"/>
          <w:cols w:space="720" w:num="1"/>
          <w:docGrid w:linePitch="312" w:charSpace="0"/>
        </w:sectPr>
      </w:pPr>
      <w:r>
        <w:rPr>
          <w:rFonts w:hint="eastAsia" w:ascii="宋体" w:hAnsi="宋体" w:cs="宋体"/>
          <w:color w:val="auto"/>
          <w:szCs w:val="21"/>
          <w:highlight w:val="none"/>
        </w:rPr>
        <w:t>评审时，磋商小组认为供应商的报价明显低于其他通过符合性审查供应商的报价，有可能影响产品质量或者不能诚信履约的，可要求其在评标现场合理的时间内按以下成本构成科目以书面方式提供计算数据及计算方法作为报价合理性的证明资料：包括所需材料、管理费用、人员成本构成、税收等所有成本和利润。供应商也可直接在响应文件中提供上述资料以避免因无法及时提供说明而导致可能被磋商小组作为无效响应处理。如果供应商不能合理说明或者提供的有关证明材料不完整，不能证明其报价合理性的，磋商小组应当将其作为无效投标处理。供应商书面说明应当签字确认或者加盖公章，否则无效。</w:t>
      </w:r>
    </w:p>
    <w:bookmarkEnd w:id="90"/>
    <w:bookmarkEnd w:id="91"/>
    <w:p>
      <w:pPr>
        <w:pStyle w:val="5"/>
        <w:spacing w:before="0" w:after="0" w:line="440" w:lineRule="exact"/>
        <w:jc w:val="center"/>
        <w:rPr>
          <w:rFonts w:ascii="宋体" w:hAnsi="宋体" w:eastAsia="宋体" w:cs="宋体"/>
          <w:color w:val="auto"/>
          <w:kern w:val="0"/>
          <w:sz w:val="28"/>
          <w:szCs w:val="28"/>
          <w:highlight w:val="none"/>
        </w:rPr>
      </w:pPr>
      <w:bookmarkStart w:id="102" w:name="OLE_LINK56"/>
      <w:bookmarkStart w:id="103" w:name="OLE_LINK60"/>
      <w:r>
        <w:rPr>
          <w:rFonts w:hint="eastAsia" w:ascii="宋体" w:hAnsi="宋体" w:eastAsia="宋体" w:cs="宋体"/>
          <w:color w:val="auto"/>
          <w:kern w:val="0"/>
          <w:sz w:val="28"/>
          <w:szCs w:val="28"/>
          <w:highlight w:val="none"/>
        </w:rPr>
        <w:t>标项五（广西农业自然灾害预警监控系统运维服务）适用</w:t>
      </w:r>
    </w:p>
    <w:p>
      <w:pPr>
        <w:pStyle w:val="23"/>
        <w:spacing w:line="440" w:lineRule="exact"/>
        <w:ind w:firstLine="420"/>
        <w:rPr>
          <w:rFonts w:hAnsi="宋体" w:cs="宋体"/>
          <w:b/>
          <w:bCs/>
          <w:color w:val="auto"/>
          <w:sz w:val="21"/>
          <w:highlight w:val="none"/>
        </w:rPr>
      </w:pPr>
      <w:bookmarkStart w:id="104" w:name="OLE_LINK71"/>
      <w:r>
        <w:rPr>
          <w:rFonts w:hint="eastAsia" w:hAnsi="宋体" w:cs="宋体"/>
          <w:b/>
          <w:bCs/>
          <w:color w:val="auto"/>
          <w:sz w:val="21"/>
          <w:highlight w:val="none"/>
        </w:rPr>
        <w:t>一、评标原则</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(一)“磋商小组”构成：本采购项目的“磋商小组”分别由依法组成的评审专家、采购人代表共</w:t>
      </w:r>
      <w:r>
        <w:rPr>
          <w:rFonts w:hint="eastAsia" w:ascii="宋体" w:hAnsi="宋体" w:cs="宋体"/>
          <w:color w:val="auto"/>
          <w:szCs w:val="21"/>
          <w:highlight w:val="none"/>
          <w:u w:val="single"/>
        </w:rPr>
        <w:t>三</w:t>
      </w:r>
      <w:r>
        <w:rPr>
          <w:rFonts w:hint="eastAsia" w:ascii="宋体" w:hAnsi="宋体" w:cs="宋体"/>
          <w:color w:val="auto"/>
          <w:szCs w:val="21"/>
          <w:highlight w:val="none"/>
        </w:rPr>
        <w:t>人以上单数构成，其中评审专家人数不少于成员总数的三分之二。</w:t>
      </w:r>
    </w:p>
    <w:p>
      <w:pPr>
        <w:pStyle w:val="23"/>
        <w:spacing w:line="440" w:lineRule="exact"/>
        <w:ind w:firstLine="420"/>
        <w:rPr>
          <w:rFonts w:hAnsi="宋体" w:cs="宋体"/>
          <w:color w:val="auto"/>
          <w:kern w:val="2"/>
          <w:sz w:val="21"/>
          <w:highlight w:val="none"/>
        </w:rPr>
      </w:pPr>
      <w:r>
        <w:rPr>
          <w:rFonts w:hint="eastAsia" w:hAnsi="宋体" w:cs="宋体"/>
          <w:color w:val="auto"/>
          <w:kern w:val="2"/>
          <w:sz w:val="21"/>
          <w:highlight w:val="none"/>
        </w:rPr>
        <w:t>(二)评审依据：磋商小组将以磋商响应文件为评审依据，对供应商的报价、技术服务方案、商务等方面内容按百分制打分。（计分方法按四舍五入取至百分位）。</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（三）评标方式：以封闭方式进行。评审全过程中不允许供应商与“磋商小组”之间有可能影响到评审结果公正性的私下会面与谈话，以体现公平、公正的基本原则。</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（四）采购人和采购代理机构、评标委员会成员要严格遵守政府采购相关法律制度，依法履行各自职责，公正、客观、审慎地组织和参与评审工作。</w:t>
      </w:r>
    </w:p>
    <w:p>
      <w:pPr>
        <w:snapToGrid w:val="0"/>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二、评标方法</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对进入详评的，采用百分制综合评分法，计分办法（按四舍五入取至百分位）：</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1、价格分………………………………………………………………………………………10分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（1）政府采购政策扣除</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政府采购政策扣除：本项目为专门面向</w:t>
      </w:r>
      <w:r>
        <w:rPr>
          <w:rFonts w:hint="eastAsia" w:hAnsi="宋体" w:cs="宋体"/>
          <w:color w:val="auto"/>
          <w:sz w:val="21"/>
          <w:highlight w:val="none"/>
          <w:lang w:eastAsia="zh-CN"/>
        </w:rPr>
        <w:t>小微</w:t>
      </w:r>
      <w:r>
        <w:rPr>
          <w:rFonts w:hint="eastAsia" w:hAnsi="宋体" w:cs="宋体"/>
          <w:color w:val="auto"/>
          <w:sz w:val="21"/>
          <w:highlight w:val="none"/>
        </w:rPr>
        <w:t>企业采购的项目，不再执行价格评审优惠的扶持政策，评审报价＝竞标报价。</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（2）价格分（满分10分）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满足磋商文件要求且评审报价最低的有效供应商的评审报价为评标基准价，其报价分为满分。其他供应商的价格分统一按照下列公式计算：某有效供应商的价格分=（评标基准价／某有效供应商评审报价）×10 分。</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2、技术分………………………………………………………………………………………</w:t>
      </w:r>
      <w:r>
        <w:rPr>
          <w:rFonts w:hint="eastAsia" w:hAnsi="宋体" w:cs="宋体"/>
          <w:b/>
          <w:bCs/>
          <w:color w:val="auto"/>
          <w:sz w:val="21"/>
          <w:highlight w:val="none"/>
          <w:lang w:val="en-US" w:eastAsia="zh-CN"/>
        </w:rPr>
        <w:t>84</w:t>
      </w:r>
      <w:r>
        <w:rPr>
          <w:rFonts w:hint="eastAsia" w:hAnsi="宋体" w:cs="宋体"/>
          <w:b/>
          <w:bCs/>
          <w:color w:val="auto"/>
          <w:sz w:val="21"/>
          <w:highlight w:val="none"/>
        </w:rPr>
        <w:t>分</w:t>
      </w:r>
    </w:p>
    <w:p>
      <w:pPr>
        <w:pStyle w:val="23"/>
        <w:spacing w:line="440" w:lineRule="exact"/>
        <w:ind w:firstLine="420"/>
        <w:rPr>
          <w:rFonts w:hint="eastAsia" w:hAnsi="宋体" w:cs="宋体"/>
          <w:b/>
          <w:bCs/>
          <w:color w:val="auto"/>
          <w:sz w:val="21"/>
          <w:highlight w:val="none"/>
        </w:rPr>
      </w:pPr>
      <w:bookmarkStart w:id="105" w:name="OLE_LINK74"/>
      <w:r>
        <w:rPr>
          <w:rFonts w:hint="eastAsia" w:hAnsi="宋体" w:cs="宋体"/>
          <w:b/>
          <w:bCs/>
          <w:color w:val="auto"/>
          <w:sz w:val="21"/>
          <w:highlight w:val="none"/>
        </w:rPr>
        <w:t>(1)服务总体方案（满分</w:t>
      </w:r>
      <w:r>
        <w:rPr>
          <w:rFonts w:hint="eastAsia" w:hAnsi="宋体" w:cs="宋体"/>
          <w:b/>
          <w:bCs/>
          <w:color w:val="auto"/>
          <w:sz w:val="21"/>
          <w:highlight w:val="none"/>
          <w:lang w:val="en-US" w:eastAsia="zh-CN"/>
        </w:rPr>
        <w:t>30</w:t>
      </w:r>
      <w:r>
        <w:rPr>
          <w:rFonts w:hint="eastAsia" w:hAnsi="宋体" w:cs="宋体"/>
          <w:b/>
          <w:bCs/>
          <w:color w:val="auto"/>
          <w:sz w:val="21"/>
          <w:highlight w:val="none"/>
        </w:rPr>
        <w:t>分）</w:t>
      </w:r>
    </w:p>
    <w:p>
      <w:pPr>
        <w:pStyle w:val="215"/>
        <w:spacing w:line="440" w:lineRule="exact"/>
        <w:ind w:firstLine="445"/>
        <w:rPr>
          <w:rFonts w:hint="eastAsia" w:hAnsi="宋体" w:cs="宋体"/>
          <w:b w:val="0"/>
          <w:bCs w:val="0"/>
          <w:color w:val="auto"/>
          <w:sz w:val="21"/>
          <w:highlight w:val="none"/>
        </w:rPr>
      </w:pPr>
      <w:r>
        <w:rPr>
          <w:rFonts w:hint="eastAsia" w:hAnsi="宋体" w:cs="宋体"/>
          <w:b w:val="0"/>
          <w:bCs w:val="0"/>
          <w:color w:val="auto"/>
          <w:sz w:val="21"/>
          <w:highlight w:val="none"/>
        </w:rPr>
        <w:t>由评标小组成员根据供应商提供的服务总体方案确定各供应商所属档次并打分。</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一档（0分）：未提供服务总体方案或提供的服务总体方案与本项目不相符；</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二档（</w:t>
      </w:r>
      <w:r>
        <w:rPr>
          <w:rFonts w:hint="eastAsia" w:hAnsi="宋体" w:cs="宋体"/>
          <w:b w:val="0"/>
          <w:bCs w:val="0"/>
          <w:color w:val="auto"/>
          <w:sz w:val="21"/>
          <w:highlight w:val="none"/>
          <w:lang w:eastAsia="zh-CN"/>
        </w:rPr>
        <w:t>1</w:t>
      </w:r>
      <w:r>
        <w:rPr>
          <w:rFonts w:hint="eastAsia" w:hAnsi="宋体" w:cs="宋体"/>
          <w:b w:val="0"/>
          <w:bCs w:val="0"/>
          <w:color w:val="auto"/>
          <w:sz w:val="21"/>
          <w:highlight w:val="none"/>
          <w:lang w:val="en-US" w:eastAsia="zh-CN"/>
        </w:rPr>
        <w:t>0</w:t>
      </w:r>
      <w:r>
        <w:rPr>
          <w:rFonts w:hint="eastAsia" w:hAnsi="宋体" w:cs="宋体"/>
          <w:b w:val="0"/>
          <w:bCs w:val="0"/>
          <w:color w:val="auto"/>
          <w:sz w:val="21"/>
          <w:highlight w:val="none"/>
        </w:rPr>
        <w:t>分）：对管理系统有基本的了解，服务总体方案的总体服务内容不够全面，方案总体逻辑结构不够清晰；</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三档（</w:t>
      </w:r>
      <w:r>
        <w:rPr>
          <w:rFonts w:hint="eastAsia" w:hAnsi="宋体" w:cs="宋体"/>
          <w:b w:val="0"/>
          <w:bCs w:val="0"/>
          <w:color w:val="auto"/>
          <w:sz w:val="21"/>
          <w:highlight w:val="none"/>
          <w:lang w:eastAsia="zh-CN"/>
        </w:rPr>
        <w:t>1</w:t>
      </w:r>
      <w:r>
        <w:rPr>
          <w:rFonts w:hint="eastAsia" w:hAnsi="宋体" w:cs="宋体"/>
          <w:b w:val="0"/>
          <w:bCs w:val="0"/>
          <w:color w:val="auto"/>
          <w:sz w:val="21"/>
          <w:highlight w:val="none"/>
          <w:lang w:val="en-US" w:eastAsia="zh-CN"/>
        </w:rPr>
        <w:t>5</w:t>
      </w:r>
      <w:r>
        <w:rPr>
          <w:rFonts w:hint="eastAsia" w:hAnsi="宋体" w:cs="宋体"/>
          <w:b w:val="0"/>
          <w:bCs w:val="0"/>
          <w:color w:val="auto"/>
          <w:sz w:val="21"/>
          <w:highlight w:val="none"/>
        </w:rPr>
        <w:t>分）：对本项目的管理系统有一定的了解，提供的服务总体方案维护思路、难点、特点、关键点描述较清晰，满足项目技术要求；</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四档（</w:t>
      </w:r>
      <w:r>
        <w:rPr>
          <w:rFonts w:hint="eastAsia" w:hAnsi="宋体" w:cs="宋体"/>
          <w:b w:val="0"/>
          <w:bCs w:val="0"/>
          <w:color w:val="auto"/>
          <w:sz w:val="21"/>
          <w:highlight w:val="none"/>
          <w:lang w:eastAsia="zh-CN"/>
        </w:rPr>
        <w:t>2</w:t>
      </w:r>
      <w:r>
        <w:rPr>
          <w:rFonts w:hint="eastAsia" w:hAnsi="宋体" w:cs="宋体"/>
          <w:b w:val="0"/>
          <w:bCs w:val="0"/>
          <w:color w:val="auto"/>
          <w:sz w:val="21"/>
          <w:highlight w:val="none"/>
          <w:lang w:val="en-US" w:eastAsia="zh-CN"/>
        </w:rPr>
        <w:t>5</w:t>
      </w:r>
      <w:r>
        <w:rPr>
          <w:rFonts w:hint="eastAsia" w:hAnsi="宋体" w:cs="宋体"/>
          <w:b w:val="0"/>
          <w:bCs w:val="0"/>
          <w:color w:val="auto"/>
          <w:sz w:val="21"/>
          <w:highlight w:val="none"/>
        </w:rPr>
        <w:t>分）：对本项目的管理系统的特点了解较全面，提供的服务总体方案维护思路、难点、特点、关键点描述清晰，提出的服务技术方案针对性强。承诺的响应时间、重要时期保障服务、例行检查方案、保障服务方案内容详实，定期预防性检查、故障处理措施可操作性强；</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五档（</w:t>
      </w:r>
      <w:r>
        <w:rPr>
          <w:rFonts w:hint="eastAsia" w:hAnsi="宋体" w:cs="宋体"/>
          <w:b w:val="0"/>
          <w:bCs w:val="0"/>
          <w:color w:val="auto"/>
          <w:sz w:val="21"/>
          <w:highlight w:val="none"/>
          <w:lang w:val="en-US" w:eastAsia="zh-CN"/>
        </w:rPr>
        <w:t>30</w:t>
      </w:r>
      <w:r>
        <w:rPr>
          <w:rFonts w:hint="eastAsia" w:hAnsi="宋体" w:cs="宋体"/>
          <w:b w:val="0"/>
          <w:bCs w:val="0"/>
          <w:color w:val="auto"/>
          <w:sz w:val="21"/>
          <w:highlight w:val="none"/>
        </w:rPr>
        <w:t>分）：满足四档的基础上，提供的服务技术方案详细完善，管理流程清晰到位，有符合需求特点的服务监督及保障机制。承诺的响应时间、安全评估服务、例行检查方案情况等内容详细，保障服务方案能有效保障项目的整体实施；制定有定期预防性检查、故障处理措施，有针对重要时期保障措施、人员保障预案、资源协调预案，与服务对象的工作衔接能有效的实施维护工作。</w:t>
      </w:r>
    </w:p>
    <w:p>
      <w:pPr>
        <w:pStyle w:val="23"/>
        <w:spacing w:line="440" w:lineRule="exact"/>
        <w:ind w:firstLine="420"/>
        <w:rPr>
          <w:rFonts w:hint="eastAsia" w:hAnsi="宋体" w:cs="宋体"/>
          <w:b/>
          <w:bCs/>
          <w:color w:val="auto"/>
          <w:sz w:val="21"/>
          <w:highlight w:val="none"/>
        </w:rPr>
      </w:pPr>
      <w:r>
        <w:rPr>
          <w:rFonts w:hint="eastAsia" w:hAnsi="宋体" w:cs="宋体"/>
          <w:b/>
          <w:bCs/>
          <w:color w:val="auto"/>
          <w:sz w:val="21"/>
          <w:highlight w:val="none"/>
        </w:rPr>
        <w:t>(2)运维服务方案分（满分</w:t>
      </w:r>
      <w:r>
        <w:rPr>
          <w:rFonts w:hint="eastAsia" w:hAnsi="宋体" w:cs="宋体"/>
          <w:b/>
          <w:bCs/>
          <w:color w:val="auto"/>
          <w:sz w:val="21"/>
          <w:highlight w:val="none"/>
          <w:lang w:val="en-US" w:eastAsia="zh-CN"/>
        </w:rPr>
        <w:t>30</w:t>
      </w:r>
      <w:r>
        <w:rPr>
          <w:rFonts w:hint="eastAsia" w:hAnsi="宋体" w:cs="宋体"/>
          <w:b/>
          <w:bCs/>
          <w:color w:val="auto"/>
          <w:sz w:val="21"/>
          <w:highlight w:val="none"/>
        </w:rPr>
        <w:t>分）</w:t>
      </w:r>
    </w:p>
    <w:p>
      <w:pPr>
        <w:pStyle w:val="215"/>
        <w:spacing w:line="440" w:lineRule="exact"/>
        <w:ind w:firstLine="445"/>
        <w:rPr>
          <w:rFonts w:hint="eastAsia" w:hAnsi="宋体" w:cs="宋体"/>
          <w:b w:val="0"/>
          <w:bCs w:val="0"/>
          <w:color w:val="auto"/>
          <w:sz w:val="21"/>
          <w:highlight w:val="none"/>
          <w:lang w:eastAsia="zh-CN"/>
        </w:rPr>
      </w:pPr>
      <w:bookmarkStart w:id="106" w:name="OLE_LINK38"/>
      <w:r>
        <w:rPr>
          <w:rFonts w:hint="eastAsia" w:hAnsi="宋体" w:cs="宋体"/>
          <w:b w:val="0"/>
          <w:bCs w:val="0"/>
          <w:color w:val="auto"/>
          <w:sz w:val="21"/>
          <w:highlight w:val="none"/>
        </w:rPr>
        <w:t>由评标小组成员根据供应商提供的运维服务方案确定各供应商所属档次并打分</w:t>
      </w:r>
      <w:r>
        <w:rPr>
          <w:rFonts w:hint="eastAsia" w:cs="宋体"/>
          <w:b w:val="0"/>
          <w:bCs w:val="0"/>
          <w:color w:val="auto"/>
          <w:sz w:val="21"/>
          <w:highlight w:val="none"/>
          <w:lang w:eastAsia="zh-CN"/>
        </w:rPr>
        <w:t>。</w:t>
      </w:r>
    </w:p>
    <w:bookmarkEnd w:id="106"/>
    <w:p>
      <w:pPr>
        <w:pStyle w:val="23"/>
        <w:spacing w:line="440" w:lineRule="exact"/>
        <w:ind w:firstLine="420"/>
        <w:rPr>
          <w:rFonts w:hint="eastAsia" w:hAnsi="宋体" w:cs="宋体"/>
          <w:b w:val="0"/>
          <w:bCs w:val="0"/>
          <w:color w:val="auto"/>
          <w:sz w:val="21"/>
          <w:highlight w:val="none"/>
        </w:rPr>
      </w:pPr>
      <w:bookmarkStart w:id="107" w:name="OLE_LINK39"/>
      <w:r>
        <w:rPr>
          <w:rFonts w:hint="eastAsia" w:hAnsi="宋体" w:cs="宋体"/>
          <w:b w:val="0"/>
          <w:bCs w:val="0"/>
          <w:color w:val="auto"/>
          <w:sz w:val="21"/>
          <w:highlight w:val="none"/>
        </w:rPr>
        <w:t>一档（0分）：未提供运维服务方案或提供的方案与本项目不相符；</w:t>
      </w:r>
    </w:p>
    <w:bookmarkEnd w:id="107"/>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二档（</w:t>
      </w:r>
      <w:r>
        <w:rPr>
          <w:rFonts w:hint="eastAsia" w:hAnsi="宋体" w:cs="宋体"/>
          <w:b w:val="0"/>
          <w:bCs w:val="0"/>
          <w:color w:val="auto"/>
          <w:sz w:val="21"/>
          <w:highlight w:val="none"/>
          <w:lang w:eastAsia="zh-CN"/>
        </w:rPr>
        <w:t>1</w:t>
      </w:r>
      <w:r>
        <w:rPr>
          <w:rFonts w:hint="eastAsia" w:hAnsi="宋体" w:cs="宋体"/>
          <w:b w:val="0"/>
          <w:bCs w:val="0"/>
          <w:color w:val="auto"/>
          <w:sz w:val="21"/>
          <w:highlight w:val="none"/>
          <w:lang w:val="en-US" w:eastAsia="zh-CN"/>
        </w:rPr>
        <w:t>0</w:t>
      </w:r>
      <w:r>
        <w:rPr>
          <w:rFonts w:hint="eastAsia" w:hAnsi="宋体" w:cs="宋体"/>
          <w:b w:val="0"/>
          <w:bCs w:val="0"/>
          <w:color w:val="auto"/>
          <w:sz w:val="21"/>
          <w:highlight w:val="none"/>
        </w:rPr>
        <w:t>分）：运维服务方案对于开发语言选择、服务器部署、与相关联系统接口数据流设计等系统运维工作内容有合理的叙述，服务内容符合采购需求；</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三档（1</w:t>
      </w:r>
      <w:r>
        <w:rPr>
          <w:rFonts w:hint="eastAsia" w:hAnsi="宋体" w:cs="宋体"/>
          <w:b w:val="0"/>
          <w:bCs w:val="0"/>
          <w:color w:val="auto"/>
          <w:sz w:val="21"/>
          <w:highlight w:val="none"/>
          <w:lang w:eastAsia="zh-CN"/>
        </w:rPr>
        <w:t>5</w:t>
      </w:r>
      <w:r>
        <w:rPr>
          <w:rFonts w:hint="eastAsia" w:hAnsi="宋体" w:cs="宋体"/>
          <w:b w:val="0"/>
          <w:bCs w:val="0"/>
          <w:color w:val="auto"/>
          <w:sz w:val="21"/>
          <w:highlight w:val="none"/>
        </w:rPr>
        <w:t>分）：运维服务方案包含开发语言选择、服务器部署、与相关联系统接口数据流设计系统日常运行维护、系统数据维护、维护措施、质量保证措施、项目实施计划；</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四档（</w:t>
      </w:r>
      <w:r>
        <w:rPr>
          <w:rFonts w:hint="eastAsia" w:hAnsi="宋体" w:cs="宋体"/>
          <w:b w:val="0"/>
          <w:bCs w:val="0"/>
          <w:color w:val="auto"/>
          <w:sz w:val="21"/>
          <w:highlight w:val="none"/>
          <w:lang w:eastAsia="zh-CN"/>
        </w:rPr>
        <w:t>2</w:t>
      </w:r>
      <w:r>
        <w:rPr>
          <w:rFonts w:hint="eastAsia" w:hAnsi="宋体" w:cs="宋体"/>
          <w:b w:val="0"/>
          <w:bCs w:val="0"/>
          <w:color w:val="auto"/>
          <w:sz w:val="21"/>
          <w:highlight w:val="none"/>
          <w:lang w:val="en-US" w:eastAsia="zh-CN"/>
        </w:rPr>
        <w:t>5</w:t>
      </w:r>
      <w:r>
        <w:rPr>
          <w:rFonts w:hint="eastAsia" w:hAnsi="宋体" w:cs="宋体"/>
          <w:b w:val="0"/>
          <w:bCs w:val="0"/>
          <w:color w:val="auto"/>
          <w:sz w:val="21"/>
          <w:highlight w:val="none"/>
        </w:rPr>
        <w:t>分）：运维服务方案有完善的系统日常运行维护、系统数据维护、维护措施、质量保证措施、项目实施计划，维护人员安排一览表、应急措施，有完善的维保工具设备；</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五档（</w:t>
      </w:r>
      <w:r>
        <w:rPr>
          <w:rFonts w:hint="eastAsia" w:hAnsi="宋体" w:cs="宋体"/>
          <w:b w:val="0"/>
          <w:bCs w:val="0"/>
          <w:color w:val="auto"/>
          <w:sz w:val="21"/>
          <w:highlight w:val="none"/>
          <w:lang w:val="en-US" w:eastAsia="zh-CN"/>
        </w:rPr>
        <w:t>30</w:t>
      </w:r>
      <w:r>
        <w:rPr>
          <w:rFonts w:hint="eastAsia" w:hAnsi="宋体" w:cs="宋体"/>
          <w:b w:val="0"/>
          <w:bCs w:val="0"/>
          <w:color w:val="auto"/>
          <w:sz w:val="21"/>
          <w:highlight w:val="none"/>
        </w:rPr>
        <w:t>分）：在满足四档的基础上，针对本项目提供的运维服务方案包含详实的运维服务计划及内容、服务流程及方式，日常维护方案条理清晰，异常数据治理、定位故障等系统问题的措施合理，针对维护期间采购人关于需求改造的要求能提供有相应的承诺及实现功能要求的模块及功能改造方案；具有完善的信息系统运维管理体系，提供解决建议性方案且符合项目特点，对各项关键工作有合理安排。在服务区域常驻有2名技术人员及以上的，提供拟投入人员的在职证明复印件（如社保、劳动合同等）并加盖供应商公章。</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w:t>
      </w:r>
      <w:r>
        <w:rPr>
          <w:rFonts w:hint="eastAsia" w:hAnsi="宋体" w:cs="宋体"/>
          <w:b/>
          <w:bCs/>
          <w:color w:val="auto"/>
          <w:sz w:val="21"/>
          <w:highlight w:val="none"/>
          <w:lang w:val="en-US" w:eastAsia="zh-CN"/>
        </w:rPr>
        <w:t>3</w:t>
      </w:r>
      <w:r>
        <w:rPr>
          <w:rFonts w:hint="eastAsia" w:hAnsi="宋体" w:cs="宋体"/>
          <w:b/>
          <w:bCs/>
          <w:color w:val="auto"/>
          <w:sz w:val="21"/>
          <w:highlight w:val="none"/>
        </w:rPr>
        <w:t>）售后服务（满分</w:t>
      </w:r>
      <w:r>
        <w:rPr>
          <w:rFonts w:hint="eastAsia" w:hAnsi="宋体" w:cs="宋体"/>
          <w:b/>
          <w:bCs/>
          <w:color w:val="auto"/>
          <w:sz w:val="21"/>
          <w:highlight w:val="none"/>
          <w:lang w:val="en-US" w:eastAsia="zh-CN"/>
        </w:rPr>
        <w:t>24</w:t>
      </w:r>
      <w:r>
        <w:rPr>
          <w:rFonts w:hint="eastAsia" w:hAnsi="宋体" w:cs="宋体"/>
          <w:b/>
          <w:bCs/>
          <w:color w:val="auto"/>
          <w:sz w:val="21"/>
          <w:highlight w:val="none"/>
        </w:rPr>
        <w:t>分）</w:t>
      </w:r>
    </w:p>
    <w:p>
      <w:pPr>
        <w:pStyle w:val="215"/>
        <w:spacing w:line="440" w:lineRule="exact"/>
        <w:ind w:firstLine="445"/>
        <w:rPr>
          <w:rFonts w:hint="eastAsia" w:hAnsi="宋体" w:cs="宋体"/>
          <w:b w:val="0"/>
          <w:bCs w:val="0"/>
          <w:color w:val="auto"/>
          <w:sz w:val="21"/>
          <w:highlight w:val="none"/>
        </w:rPr>
      </w:pPr>
      <w:r>
        <w:rPr>
          <w:rFonts w:hint="eastAsia" w:hAnsi="宋体" w:cs="宋体"/>
          <w:b w:val="0"/>
          <w:bCs w:val="0"/>
          <w:color w:val="auto"/>
          <w:sz w:val="21"/>
          <w:highlight w:val="none"/>
        </w:rPr>
        <w:t>由评标小组成员根据供应商提供的</w:t>
      </w:r>
      <w:r>
        <w:rPr>
          <w:rFonts w:hint="eastAsia" w:hAnsi="宋体" w:cs="宋体"/>
          <w:b w:val="0"/>
          <w:bCs w:val="0"/>
          <w:color w:val="auto"/>
          <w:sz w:val="21"/>
          <w:highlight w:val="none"/>
          <w:lang w:eastAsia="zh-CN"/>
        </w:rPr>
        <w:t>售后</w:t>
      </w:r>
      <w:r>
        <w:rPr>
          <w:rFonts w:hint="eastAsia" w:hAnsi="宋体" w:cs="宋体"/>
          <w:b w:val="0"/>
          <w:bCs w:val="0"/>
          <w:color w:val="auto"/>
          <w:sz w:val="21"/>
          <w:highlight w:val="none"/>
        </w:rPr>
        <w:t>方案确定各供应商所属档次并打分。</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一档（0分）：未提供</w:t>
      </w:r>
      <w:r>
        <w:rPr>
          <w:rFonts w:hint="eastAsia" w:hAnsi="宋体" w:cs="宋体"/>
          <w:b w:val="0"/>
          <w:bCs w:val="0"/>
          <w:color w:val="auto"/>
          <w:sz w:val="21"/>
          <w:highlight w:val="none"/>
          <w:lang w:eastAsia="zh-CN"/>
        </w:rPr>
        <w:t>售后服务</w:t>
      </w:r>
      <w:r>
        <w:rPr>
          <w:rFonts w:hint="eastAsia" w:hAnsi="宋体" w:cs="宋体"/>
          <w:b w:val="0"/>
          <w:bCs w:val="0"/>
          <w:color w:val="auto"/>
          <w:sz w:val="21"/>
          <w:highlight w:val="none"/>
        </w:rPr>
        <w:t>方案或提供的方案与本项目不相符；</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一档（</w:t>
      </w:r>
      <w:r>
        <w:rPr>
          <w:rFonts w:hint="eastAsia" w:hAnsi="宋体" w:cs="宋体"/>
          <w:color w:val="auto"/>
          <w:sz w:val="21"/>
          <w:highlight w:val="none"/>
          <w:lang w:val="en-US" w:eastAsia="zh-CN"/>
        </w:rPr>
        <w:t>8</w:t>
      </w:r>
      <w:r>
        <w:rPr>
          <w:rFonts w:hint="eastAsia" w:hAnsi="宋体" w:cs="宋体"/>
          <w:color w:val="auto"/>
          <w:sz w:val="21"/>
          <w:highlight w:val="none"/>
        </w:rPr>
        <w:t>分）：服务方案包含有项目售后服务维护，但方案较为简单，缺乏针对性。</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二档（</w:t>
      </w:r>
      <w:r>
        <w:rPr>
          <w:rFonts w:hint="eastAsia" w:hAnsi="宋体" w:cs="宋体"/>
          <w:color w:val="auto"/>
          <w:sz w:val="21"/>
          <w:highlight w:val="none"/>
          <w:lang w:val="en-US" w:eastAsia="zh-CN"/>
        </w:rPr>
        <w:t>16</w:t>
      </w:r>
      <w:r>
        <w:rPr>
          <w:rFonts w:hint="eastAsia" w:hAnsi="宋体" w:cs="宋体"/>
          <w:color w:val="auto"/>
          <w:sz w:val="21"/>
          <w:highlight w:val="none"/>
        </w:rPr>
        <w:t>分）：方案包含有项目服务维护、保密承诺及廉洁承诺等，且描述了项目维护的方法以及实现方式，方案合理可行，具有针对性。</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三档（</w:t>
      </w:r>
      <w:r>
        <w:rPr>
          <w:rFonts w:hint="eastAsia" w:hAnsi="宋体" w:cs="宋体"/>
          <w:color w:val="auto"/>
          <w:sz w:val="21"/>
          <w:highlight w:val="none"/>
          <w:lang w:val="en-US" w:eastAsia="zh-CN"/>
        </w:rPr>
        <w:t>24</w:t>
      </w:r>
      <w:r>
        <w:rPr>
          <w:rFonts w:hint="eastAsia" w:hAnsi="宋体" w:cs="宋体"/>
          <w:color w:val="auto"/>
          <w:sz w:val="21"/>
          <w:highlight w:val="none"/>
        </w:rPr>
        <w:t>分）：方案包含有合理可行并且具有针对性的项目售后维护、保密承诺及廉洁承诺等，且描述了项目售后维护的方法以及实现方式，售后服务机构及联系人、技术人员名单等资料详细，服务承诺和保障措施考虑周全完整。</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3、商务分………………………………………………………………………………</w:t>
      </w:r>
      <w:r>
        <w:rPr>
          <w:rFonts w:hint="eastAsia" w:hAnsi="宋体" w:cs="宋体"/>
          <w:b/>
          <w:bCs/>
          <w:color w:val="auto"/>
          <w:sz w:val="21"/>
          <w:highlight w:val="none"/>
          <w:lang w:val="en-US" w:eastAsia="zh-CN"/>
        </w:rPr>
        <w:t>6</w:t>
      </w:r>
      <w:r>
        <w:rPr>
          <w:rFonts w:hint="eastAsia" w:hAnsi="宋体" w:cs="宋体"/>
          <w:b/>
          <w:bCs/>
          <w:color w:val="auto"/>
          <w:sz w:val="21"/>
          <w:highlight w:val="none"/>
        </w:rPr>
        <w:t>分</w:t>
      </w:r>
    </w:p>
    <w:p>
      <w:pPr>
        <w:pStyle w:val="23"/>
        <w:spacing w:line="440" w:lineRule="exact"/>
        <w:ind w:firstLine="420"/>
        <w:rPr>
          <w:rFonts w:hint="eastAsia" w:hAnsi="宋体" w:cs="宋体"/>
          <w:color w:val="auto"/>
          <w:sz w:val="21"/>
          <w:highlight w:val="none"/>
        </w:rPr>
      </w:pPr>
      <w:r>
        <w:rPr>
          <w:rFonts w:hint="eastAsia" w:hAnsi="宋体" w:cs="宋体"/>
          <w:color w:val="auto"/>
          <w:sz w:val="21"/>
          <w:highlight w:val="none"/>
        </w:rPr>
        <w:t>供应商自</w:t>
      </w:r>
      <w:r>
        <w:rPr>
          <w:rFonts w:hint="eastAsia" w:hAnsi="宋体" w:cs="宋体"/>
          <w:color w:val="auto"/>
          <w:sz w:val="21"/>
          <w:highlight w:val="none"/>
          <w:lang w:val="en-US" w:eastAsia="zh-CN"/>
        </w:rPr>
        <w:t>2022年1月1日</w:t>
      </w:r>
      <w:r>
        <w:rPr>
          <w:rFonts w:hint="eastAsia" w:hAnsi="宋体" w:cs="宋体"/>
          <w:color w:val="auto"/>
          <w:sz w:val="21"/>
          <w:highlight w:val="none"/>
        </w:rPr>
        <w:t>以来具有同类业绩材料，每有一项得</w:t>
      </w:r>
      <w:r>
        <w:rPr>
          <w:rFonts w:hint="eastAsia" w:hAnsi="宋体" w:cs="宋体"/>
          <w:color w:val="auto"/>
          <w:sz w:val="21"/>
          <w:highlight w:val="none"/>
          <w:lang w:val="en-US" w:eastAsia="zh-CN"/>
        </w:rPr>
        <w:t>3</w:t>
      </w:r>
      <w:r>
        <w:rPr>
          <w:rFonts w:hint="eastAsia" w:hAnsi="宋体" w:cs="宋体"/>
          <w:color w:val="auto"/>
          <w:sz w:val="21"/>
          <w:highlight w:val="none"/>
        </w:rPr>
        <w:t>分，满分</w:t>
      </w:r>
      <w:r>
        <w:rPr>
          <w:rFonts w:hint="eastAsia" w:hAnsi="宋体" w:cs="宋体"/>
          <w:color w:val="auto"/>
          <w:sz w:val="21"/>
          <w:highlight w:val="none"/>
          <w:lang w:val="en-US" w:eastAsia="zh-CN"/>
        </w:rPr>
        <w:t>6</w:t>
      </w:r>
      <w:r>
        <w:rPr>
          <w:rFonts w:hint="eastAsia" w:hAnsi="宋体" w:cs="宋体"/>
          <w:color w:val="auto"/>
          <w:sz w:val="21"/>
          <w:highlight w:val="none"/>
        </w:rPr>
        <w:t>分。（以开具发票或者中标（成交）通知书或合同复印件为准，并加盖供应商公章。）</w:t>
      </w:r>
    </w:p>
    <w:bookmarkEnd w:id="105"/>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总得分=1+2+3</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说明：上述评分标准中提及的证书、证件、证明、业绩材料等须提供有效的证书或证明材料扫描件或其他电子文件，并须加盖供应商CA电子签章，否则不予计分。</w:t>
      </w:r>
    </w:p>
    <w:p>
      <w:pPr>
        <w:pStyle w:val="23"/>
        <w:spacing w:line="440" w:lineRule="exact"/>
        <w:ind w:firstLine="420"/>
        <w:rPr>
          <w:rFonts w:hAnsi="宋体" w:cs="宋体"/>
          <w:b/>
          <w:bCs/>
          <w:color w:val="auto"/>
          <w:sz w:val="21"/>
          <w:highlight w:val="none"/>
        </w:rPr>
      </w:pPr>
    </w:p>
    <w:bookmarkEnd w:id="102"/>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三、推荐及确定成交候选供应商原则</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由磋商小组根据综合评分情况，按照评审得分由高到低顺序推荐3名以上中标（成交）候选供应商，并编写评审报告。评审得分相同的，按照最后报价（不计算价格折扣）由低到高的顺序推荐。评审得分且最后报价（不计算价格折扣）相同的，按照技术指标优劣顺序推荐（按综合评分中服务水平、售后服务、履约能力、政策功能得分高低依次确定）。评审得分、最后报价（不计算价格折扣）、技术得分均相同的，由磋商小组随机抽取推荐。</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本项目确定一名成交供应商。采购单位应当确定磋商小组推荐排名第一的成交候选供应商为成交供应商。</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排名第一的中标（成交）候选人放弃中标、因不可抗力提出不能履行合同，或者招标文件规定应当提交履约保证金而在规定的期限内未能提交的，或因失信行为被取消中标候选人资格的，采购人可以确定排名第二的中标（成交）候选人为中标人，并依此类推。</w:t>
      </w:r>
    </w:p>
    <w:p>
      <w:pPr>
        <w:spacing w:line="44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本标项允许兼投兼中。供应商可以同时参与多个标项的竞标，并且可以同时中标多个标项</w:t>
      </w:r>
    </w:p>
    <w:p>
      <w:pPr>
        <w:spacing w:line="44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四、特别说明</w:t>
      </w:r>
    </w:p>
    <w:p>
      <w:pPr>
        <w:spacing w:line="440" w:lineRule="exact"/>
        <w:ind w:firstLine="411" w:firstLineChars="196"/>
        <w:rPr>
          <w:rFonts w:ascii="宋体" w:hAnsi="宋体" w:cs="宋体"/>
          <w:color w:val="auto"/>
          <w:szCs w:val="21"/>
          <w:highlight w:val="none"/>
        </w:rPr>
        <w:sectPr>
          <w:headerReference r:id="rId14" w:type="default"/>
          <w:footerReference r:id="rId15" w:type="default"/>
          <w:pgSz w:w="11906" w:h="16838"/>
          <w:pgMar w:top="1134" w:right="1247" w:bottom="1134" w:left="1247" w:header="851" w:footer="1310" w:gutter="0"/>
          <w:cols w:space="720" w:num="1"/>
          <w:docGrid w:linePitch="312" w:charSpace="0"/>
        </w:sectPr>
      </w:pPr>
      <w:r>
        <w:rPr>
          <w:rFonts w:hint="eastAsia" w:ascii="宋体" w:hAnsi="宋体" w:cs="宋体"/>
          <w:color w:val="auto"/>
          <w:szCs w:val="21"/>
          <w:highlight w:val="none"/>
        </w:rPr>
        <w:t>评审时，磋商小组认为供应商的报价明显低于其他通过符合性审查供应商的报价，有可能影响产品质量或者不能诚信履约的，可要求其在评标现场合理的时间内按以下成本构成科目以书面方式提供计算数据及计算方法作为报价合理性的证明资料：包括所需材料、管理费用、人员成本构成、税收等所有成本和利润。供应商也可直接在响应文件中提供上述资料以避免因无法及时提供说明而导致可能被磋商小组作为无效响应处理。如果供应商不能合理说明或者提供的有关证明材料不完整，不能证明其报价合理性的，磋商小组应当将其作为无效投标处理。供应商书面说明应当签字确认或者加盖公章，否则无效。</w:t>
      </w:r>
    </w:p>
    <w:bookmarkEnd w:id="103"/>
    <w:bookmarkEnd w:id="104"/>
    <w:p>
      <w:pPr>
        <w:pStyle w:val="5"/>
        <w:spacing w:before="0" w:after="0" w:line="360" w:lineRule="auto"/>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标项六（</w:t>
      </w:r>
      <w:r>
        <w:rPr>
          <w:rFonts w:hint="eastAsia" w:ascii="宋体" w:hAnsi="宋体" w:eastAsia="宋体" w:cs="宋体"/>
          <w:color w:val="auto"/>
          <w:kern w:val="0"/>
          <w:sz w:val="28"/>
          <w:szCs w:val="28"/>
          <w:highlight w:val="none"/>
          <w:lang w:eastAsia="zh-CN"/>
        </w:rPr>
        <w:t>广西壮族自治区</w:t>
      </w:r>
      <w:r>
        <w:rPr>
          <w:rFonts w:hint="eastAsia" w:ascii="宋体" w:hAnsi="宋体" w:eastAsia="宋体" w:cs="宋体"/>
          <w:color w:val="auto"/>
          <w:kern w:val="0"/>
          <w:sz w:val="28"/>
          <w:szCs w:val="28"/>
          <w:highlight w:val="none"/>
        </w:rPr>
        <w:t>粮食生产功能区管理平台运维服务（2025年度））适用</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一、评标原则</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(一)“磋商小组”构成：本采购项目的“磋商小组”分别由依法组成的评审专家、采购人代表共</w:t>
      </w:r>
      <w:r>
        <w:rPr>
          <w:rFonts w:hint="eastAsia" w:ascii="宋体" w:hAnsi="宋体" w:cs="宋体"/>
          <w:color w:val="auto"/>
          <w:szCs w:val="21"/>
          <w:highlight w:val="none"/>
          <w:u w:val="single"/>
        </w:rPr>
        <w:t>三</w:t>
      </w:r>
      <w:r>
        <w:rPr>
          <w:rFonts w:hint="eastAsia" w:ascii="宋体" w:hAnsi="宋体" w:cs="宋体"/>
          <w:color w:val="auto"/>
          <w:szCs w:val="21"/>
          <w:highlight w:val="none"/>
        </w:rPr>
        <w:t>人以上单数构成，其中评审专家人数不少于成员总数的三分之二。</w:t>
      </w:r>
    </w:p>
    <w:p>
      <w:pPr>
        <w:pStyle w:val="23"/>
        <w:spacing w:line="440" w:lineRule="exact"/>
        <w:ind w:firstLine="420"/>
        <w:rPr>
          <w:rFonts w:hAnsi="宋体" w:cs="宋体"/>
          <w:color w:val="auto"/>
          <w:kern w:val="2"/>
          <w:sz w:val="21"/>
          <w:highlight w:val="none"/>
        </w:rPr>
      </w:pPr>
      <w:r>
        <w:rPr>
          <w:rFonts w:hint="eastAsia" w:hAnsi="宋体" w:cs="宋体"/>
          <w:color w:val="auto"/>
          <w:kern w:val="2"/>
          <w:sz w:val="21"/>
          <w:highlight w:val="none"/>
        </w:rPr>
        <w:t>(二)评审依据：磋商小组将以磋商响应文件为评审依据，对供应商的报价、技术服务方案、商务等方面内容按百分制打分。（计分方法按四舍五入取至百分位）。</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（三）评标方式：以封闭方式进行。评审全过程中不允许供应商与“磋商小组”之间有可能影响到评审结果公正性的私下会面与谈话，以体现公平、公正的基本原则。</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（四）采购人和采购代理机构、评标委员会成员要严格遵守政府采购相关法律制度，依法履行各自职责，公正、客观、审慎地组织和参与评审工作。</w:t>
      </w:r>
    </w:p>
    <w:p>
      <w:pPr>
        <w:snapToGrid w:val="0"/>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二、评标方法</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对进入详评的，采用百分制综合评分法，计分办法（按四舍五入取至百分位）：</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1、价格分………………………………………………………………………………………10分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一、政府采购政策扣除</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按照《政府采购促进中小企业发展管理办法》（财库〔2020〕46号）的规定，供应商在其响应文件中按照格式要求提供《中小企业声明函》，且服务全部由小微企业承接，对其最后报价给予10%（范围为10%-20%）的扣除，扣除后的价格为评审价，即评审价=竞标报价×（1-10%）。</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范围为4%-6%）的扣除，用扣除后的价格参加评审，扣除后的价格为评审价，即评审价=竞标报价×（1-4%）。</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除上述情况外，评审报价=竞标报价。</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满足采购文件要求且评审报价最低的评审报价为评标基准价，其价格分为满分。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二、价格分（满分10分）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（1）满足磋商文件要求且评审报价最低的有效供应商的评审报价为评标基准价，其报价分为满分。其他供应商的价格分统一按照下列公式计算：某有效供应商的价格分=（评标基准价／某有效供应商评审报价）×10 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（2）如有价格扣除时，竞标报价分计算时均按为供应商的实际竞标报价进行价格扣除后的价格进行计算，最终成交金额＝竞标报价。</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2、技术分………………………………………………………………………………………66分</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(1)需求理解（满分12分）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由磋商小组在打分前根据各供应商提供的需求理解确定供应商所属档次及分值，达不到一档不得分。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一档（4分）：供应商对采购需求有基本的理解，简单描述了项目建设背景、建设目标等，有方案描述，有一定的逻辑连贯性。</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二档（8分）：供应商对采购需求理解较为透彻，提供整体项目建设背景、建设目标等，方案内容较完整、结构较清晰、层次较分明、逻辑较连贯。</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三档（12分）：符合二档的要求，且供应商对能对项目建设现状（包括信息化基础情况、历年项目实施情况）、建设必要性、软件维护需求、数据更新及管理需求、软件升级需求进行详细分析阐述，方案内容完整、结构清晰、层次分明、逻辑连贯。</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(2)设计方案分（满分18分）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由磋商小组在打分前根据各供应商提供的设计方案确定供应商所属档次及分值，达不到一档不得分。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一档（6分）：供应商能提供基本的总体设计方案，包含技术路线、技术方法等内容，整体基本连贯。</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二档（12分）：符合一档的要求，且供应商能提供的总体设计方案包含系统运维的应急措施等内容，整体设计合理、方案完整、结构清晰。</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三档（18分）：符合二档的要求，且供应商能提供详细的总体设计方案，包括总体思路、建设原则、数据架构、物理场所环境等，设计思路可行且具先进性、创新性，符合总体项目建设需求。技术路线、数据架构合理、采用的技术先进、设计完整、系统实用、规范、易用、具有可行性。</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(3)平台运维方案（满分15分）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由磋商小组在打分前根据各供应商提供的软件升级方案确定供应商所属档次及分值，达不到一档不得分。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一档（5分）：供应商提供的运维方案提及关于日常运维工作流程、安全加固的措施等基本内容，但没有提及数据库备份存储、数据备份还原方案等方面内容。</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二档（10分）：满足一档的基础上，供应商提供的运维方案还能包含日常运维巡检、故障处理的方案描述。</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三档（15分）：满足二档功能设计要求，供应商提供的运维方案具有规范的日常运维巡检、故障处理、安全加固、版本更新等运维流程，且数据备份还原方案可行性高。</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（4）数据更新方案（满分15分）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由磋商小组在打分前根据各供应商提供的数据更新方案确定供应商所属档次及分值，达不到一档不得分。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一档（5分）：供应商能提供粮食功能区数据的更新方案具有可行性。</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二档（10分）：满足一档数据更新方案需求，且方案内容需要描述清楚数据更新和入库到系统的过程。</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三档（15分）：满足二档数据更新方案需求，且数据更新方案包含了不同年份的数据管理内容，方案内容规范、较为详细，可行性强。</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（5）售后服务方案（满分6分）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由磋商小组根据供应商的售后服务方案确定各供应商所属档次及得分。达不到一档要求或不提供的得0分。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一档（2分）：服务方案基本满足采购文件要求，提供简单的服务质量措施和承诺，有简单的后续服务承诺，服务机构体系和保障措施简单，基本满足项目需求。</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二档（4分）：服务方案完全满足采购文件要求，提供详细的服务质量措施和承诺，有详细的后续服务承诺，服务机构体系和保障措施具体、基本可行。</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三档（6分）：服务方案完善可行，目标明确，内容全面、措施得力，有优于采购文件要求的内容，能提供完善、可行、有针对性的服务质量措施和承诺，有详细完善的后续服务承诺，服务机构体系和保障措施完善、可行合理，对本项目的实际后续服务保障工作切实有效，有针对性。</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3、商务分………………………………………………………………………………24分</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（1）信誉分（满分8分）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①供应商具备ISO9001质量管理体系认证证书的得2分；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②供应商具备ISO27001信息安全管理体系认证证书的得2分；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③供应商具备ISO20000信息技术服务管理体系认证证书的得2分；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④供应商具有自主知识产权的国产GIS地理信息基础平台且该平台通过软件测评的得1分（提供自主知识产权GIS平台证明及有关软件测试报告复印件），否则不得分；自主GIS平台获得省级及以上科技进步奖的加1分，本小项满分2分。（需提供获奖证书复印件，未提供不得分）</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（2）人员实力分（11分）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①拟派的项目负责人须具备正高级工程师及以上职称、信息系统项目管理师证书、注册测绘师证书得3分，缺一项扣1分。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②技术负责人具有高级系统架构设计师证书、软件设计师证书和信息安全工程师证书的得3分，缺一项扣1分。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③质量负责人具有高级工程师及以上职称、信息系统项目管理师证书和软件设计师证书的得3分，缺一项扣1分。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④项目组其他成员中具有数据库系统工程师证书的每个1分，满分2分。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（需提供有效期内的证书复印件及拟投入人员的在职证明（如社保、劳动合同等）复印件，未提供不得分，人员不能重复得分）。</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（3）业绩分（5分）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lang w:val="en-US" w:eastAsia="zh-CN"/>
        </w:rPr>
        <w:t>2022年1月1日以来</w:t>
      </w:r>
      <w:r>
        <w:rPr>
          <w:rFonts w:hint="eastAsia" w:hAnsi="宋体" w:cs="宋体"/>
          <w:color w:val="auto"/>
          <w:sz w:val="21"/>
          <w:highlight w:val="none"/>
        </w:rPr>
        <w:t>供应商承担过类似项目业绩，每提供一个得1分，满分5分。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注：提供有效合同复印件，合同内容能清晰反映服务名称、种类、金额，同一个项目不重复计分。</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总得分=1+2+3</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说明：上述评分标准中提及的证书、证件、证明、业绩材料等须提供有效的证书或证明材料扫描件或其他电子文件，并须加盖供应商CA电子签章，否则不予计分。</w:t>
      </w:r>
    </w:p>
    <w:p>
      <w:pPr>
        <w:pStyle w:val="23"/>
        <w:spacing w:line="440" w:lineRule="exact"/>
        <w:ind w:firstLine="420"/>
        <w:rPr>
          <w:rFonts w:hAnsi="宋体" w:cs="宋体"/>
          <w:b/>
          <w:bCs/>
          <w:color w:val="auto"/>
          <w:sz w:val="21"/>
          <w:highlight w:val="none"/>
        </w:rPr>
      </w:pP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三、推荐及确定成交候选供应商原则</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由磋商小组根据综合评分情况，按照评审得分由高到低顺序推荐3名以上中标（成交）候选供应商，并编写评审报告。评审得分相同的，按照最后报价（不计算价格折扣）由低到高的顺序推荐。评审得分且最后报价（不计算价格折扣）相同的，按照技术指标优劣顺序推荐（按综合评分中服务水平、售后服务、履约能力、政策功能得分高低依次确定）。评审得分、最后报价（不计算价格折扣）、技术得分均相同的，由磋商小组随机抽取推荐。</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本项目确定一名成交供应商。采购单位应当确定磋商小组推荐排名第一的成交候选供应商为成交供应商。</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排名第一的中标（成交）候选人放弃中标、因不可抗力提出不能履行合同，或者招标文件规定应当提交履约保证金而在规定的期限内未能提交的，或因失信行为被取消中标候选人资格的，采购人可以确定排名第二的中标（成交）候选人为中标人，并依此类推。</w:t>
      </w:r>
    </w:p>
    <w:p>
      <w:pPr>
        <w:spacing w:line="44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本标项允许兼投兼中。供应商可以同时参与多个标项的竞标，并且可以同时中标多个标项</w:t>
      </w:r>
    </w:p>
    <w:p>
      <w:pPr>
        <w:spacing w:line="44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四、特别说明</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评审时，磋商小组认为供应商的报价明显低于其他通过符合性审查供应商的报价，有可能影响产品质量或者不能诚信履约的，可要求其在评标现场合理的时间内按以下成本构成科目以书面方式提供计算数据及计算方法作为报价合理性的证明资料：包括所需材料、管理费用、人员成本构成、税收等所有成本和利润。供应商也可直接在响应文件中提供上述资料以避免因无法及时提供说明而导致可能被磋商小组作为无效响应处理。如果供应商不能合理说明或者提供的有关证明材料不完整，不能证明其报价合理性的，磋商小组应当将其作为无效投标处理。供应商书面说明应当签字确认或者加盖公章，否则无效。</w:t>
      </w:r>
    </w:p>
    <w:p>
      <w:pPr>
        <w:spacing w:line="440" w:lineRule="exact"/>
        <w:ind w:firstLine="411" w:firstLineChars="196"/>
        <w:rPr>
          <w:rFonts w:ascii="宋体" w:hAnsi="宋体" w:cs="宋体"/>
          <w:color w:val="auto"/>
          <w:szCs w:val="21"/>
          <w:highlight w:val="none"/>
        </w:rPr>
        <w:sectPr>
          <w:pgSz w:w="11906" w:h="16838"/>
          <w:pgMar w:top="1134" w:right="1247" w:bottom="1134" w:left="1247" w:header="851" w:footer="1310" w:gutter="0"/>
          <w:cols w:space="720" w:num="1"/>
          <w:docGrid w:linePitch="312" w:charSpace="0"/>
        </w:sectPr>
      </w:pPr>
    </w:p>
    <w:p>
      <w:pPr>
        <w:pStyle w:val="5"/>
        <w:spacing w:before="0" w:after="0" w:line="360" w:lineRule="auto"/>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标项七（网络安全等级保护测评和商用密码应用安全性评估服务）适用</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一、评标原则</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(一)“磋商小组”构成：本采购项目的“磋商小组”分别由依法组成的评审专家、采购人代表共</w:t>
      </w:r>
      <w:r>
        <w:rPr>
          <w:rFonts w:hint="eastAsia" w:ascii="宋体" w:hAnsi="宋体" w:cs="宋体"/>
          <w:color w:val="auto"/>
          <w:szCs w:val="21"/>
          <w:highlight w:val="none"/>
          <w:u w:val="single"/>
        </w:rPr>
        <w:t>三</w:t>
      </w:r>
      <w:r>
        <w:rPr>
          <w:rFonts w:hint="eastAsia" w:ascii="宋体" w:hAnsi="宋体" w:cs="宋体"/>
          <w:color w:val="auto"/>
          <w:szCs w:val="21"/>
          <w:highlight w:val="none"/>
        </w:rPr>
        <w:t>人以上单数构成，其中评审专家人数不少于成员总数的三分之二。</w:t>
      </w:r>
    </w:p>
    <w:p>
      <w:pPr>
        <w:pStyle w:val="23"/>
        <w:spacing w:line="440" w:lineRule="exact"/>
        <w:ind w:firstLine="420"/>
        <w:rPr>
          <w:rFonts w:hAnsi="宋体" w:cs="宋体"/>
          <w:color w:val="auto"/>
          <w:kern w:val="2"/>
          <w:sz w:val="21"/>
          <w:highlight w:val="none"/>
        </w:rPr>
      </w:pPr>
      <w:r>
        <w:rPr>
          <w:rFonts w:hint="eastAsia" w:hAnsi="宋体" w:cs="宋体"/>
          <w:color w:val="auto"/>
          <w:kern w:val="2"/>
          <w:sz w:val="21"/>
          <w:highlight w:val="none"/>
        </w:rPr>
        <w:t>(二)评审依据：磋商小组将以磋商响应文件为评审依据，对供应商的报价、技术服务方案、商务等方面内容按百分制打分。（计分方法按四舍五入取至百分位）。</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（三）评标方式：以封闭方式进行。评审全过程中不允许供应商与“磋商小组”之间有可能影响到评审结果公正性的私下会面与谈话，以体现公平、公正的基本原则。</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（四）采购人和采购代理机构、评标委员会成员要严格遵守政府采购相关法律制度，依法履行各自职责，公正、客观、审慎地组织和参与评审工作。</w:t>
      </w:r>
    </w:p>
    <w:p>
      <w:pPr>
        <w:snapToGrid w:val="0"/>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二、评标方法</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对进入详评的，采用百分制综合评分法，计分办法（按四舍五入取至百分位）：</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1、价格分………………………………………………………………………………………10分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（1）政府采购政策扣除</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政府采购政策扣除：本项目为专门面向中小企业采购的项目，不再执行价格评审优惠的扶持政策，评审报价＝竞标报价。</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（2）价格分（满分10分）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满足磋商文件要求且评审报价最低的有效供应商的评审报价为评标基准价，其报价分为满分。其他供应商的价格分统一按照下列公式计算：某有效供应商的价格分=（评标基准价／某有效供应商评审报价）×10 分。</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2、技术分………………………………………………………………………………………55分</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(1)技术方案分（满分15分）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（由磋商小组依据采购需求的目标及要求，对各供应商提供的技术方案设计的合理性及完整性独立评分。）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一档（5分）：供应商提供的方案基本符合采购文件要求，测评措施较能基本满足项目要求。</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二档（10分）：供应商提供的方案符合采购文件要求，较详细描述了项目测评实现方式，方案可行。能描述投入本项目测评的主要内容、采用的测评的标准和测评方法。有较为具体的人员结构、任务分配和进度安排，能提供质量保证措施。</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三档（15分）：供应商提供的方案，在满足二档要求基础上，具有一定的先进性。能结合项目实际详细描述投入项目测评的主要内容、采用的测评的标准、测评设备的型号、测评方法和保密承诺。人员结构科学，任务分配妥当，进度安排合理，质量保证措施具体、合理、可操作性强。</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(2)售后服务方案（满分15分）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（由磋商小组在打分前根据供应商提供的售后服务方案确定各供应商所属档次，并在相应档次内独立打分）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一档（5分）：供应商承诺的响应时间、咨询保障服务、重要时期咨询服务、应急响应服务、文档管理咨询、售后服务方案基本完整。</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二档（10分）：供应商承诺的响应时间、故障咨询服务、重要时期咨询服务、应急响应服务、文档管理咨询、售后服务方案比较完整。有较为具体的故障处理咨询措施、重要时期咨询保障措施，应急服务管理方案、服务管理方案比较细致。</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三档（15分）：在满足二档要求的基础之上，重要时期咨询保障措施针对性、可行性强，人员保障预案、资源协调预案考虑周到、全面，应急服务管理方案、服务管理方案细致、具体，提供的售后服务方案规范性及标准化程度较高。</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(3)人员配置分（满分15分）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由磋商小组在打分前根据供应商提供的团队人员确定各供应商所属档次及得分，达不到一档要求或不提供的得0分。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一档（5分）：供应商承诺为本项目投入5人以上（含5人）的技术服务队伍，服务团队至少包括商用密码应用安全性评估人员测评能力考核（合格）2人，CISP注册信息安全专业人员2人。</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二档（10分）：供应商承诺为本项目投入8人以上（含8人）的技术服务队伍，服务团队中至少包含商用密码应用安全性评估人员测评能力考核（合格）3人，CISP注册信息安全专业人员3人，CISAW信息安全保障人员(风险管理)1人。</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三档（15分）：供应商承诺为本项目投入13人以上（含13人）的技术服务队伍，服务团队中至少包商用密码应用安全性评估人员测评能力考核（合格）4人，CISP注册信息安全专业人员4人，CISAW信息安全保障人员(风险管理)2人，国家认证认可监督管理委员会认证认可技术研究所的CCAI证书2人。</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注：上述人员需在响应文件中提供证书复印件并加盖公章，否则不予计分。</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（4）项目经理配置分（满分10分）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供应商为本项目配备的项目经理需具备信息/网络安全等级测评师证书（高级），同时持有以下资质证书：（每提供一份得2分，满分10分）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①网络安全能力认证证书；</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②国家重大活动网络安全保卫技术支持先进个人证书；</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③注册信息安全专业人员证书（CISP）；</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④原创漏洞证明；</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⑤省级及以上政府人事部门颁发的中级或以上职称证书。</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3、商务分………………………………………………………………………………35分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（1）供应商具备在有效期内的ISO9001质量管理体系认证证书、ISO45001职业健康安全管理体系认证证书、ISO27001信息安全管理体系认证证书、ISO20000信息技术服务管理体系认证证书，每提供一份得4分；（满分16分）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（2）供应商具有国家信息安全漏洞库CNNVDD技术支撑单位等级证书，得4分；（满分4分）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（3）供应商具有中国合格评定国家认可委员会检验机构认可证书（CNAS）得4分；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（4）供应商具有信息安全风险评估服务资质证书的得4分；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（5）供应商自2022年1月1日至今，每有一个三级信息系统等保测评或者商密评估相关案例得1分，最多得7分。（提供相关合同复印件或授权书加盖供应商公章）</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注：以上资质或资格证书需加盖供应商公章</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总得分=1+2+3</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说明：上述评分标准中提及的证书、证件、证明、业绩材料等须提供有效的证书或证明材料扫描件或其他电子文件，并须加盖供应商CA电子签章，否则不予计分。</w:t>
      </w:r>
    </w:p>
    <w:p>
      <w:pPr>
        <w:pStyle w:val="23"/>
        <w:spacing w:line="440" w:lineRule="exact"/>
        <w:ind w:firstLine="420"/>
        <w:rPr>
          <w:rFonts w:hAnsi="宋体" w:cs="宋体"/>
          <w:b/>
          <w:bCs/>
          <w:color w:val="auto"/>
          <w:sz w:val="21"/>
          <w:highlight w:val="none"/>
        </w:rPr>
      </w:pP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三、推荐及确定成交候选供应商原则</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由磋商小组根据综合评分情况，按照评审得分由高到低顺序推荐3名以上中标（成交）候选供应商，并编写评审报告。评审得分相同的，按照最后报价（不计算价格折扣）由低到高的顺序推荐。评审得分且最后报价（不计算价格折扣）相同的，按照技术指标优劣顺序推荐（按综合评分中服务水平、售后服务、履约能力、政策功能得分高低依次确定）。评审得分、最后报价（不计算价格折扣）、技术得分均相同的，由磋商小组随机抽取推荐。</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本项目确定一名成交供应商。采购单位应当确定磋商小组推荐排名第一的成交候选供应商为成交供应商。</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排名第一的中标（成交）候选人放弃中标、因不可抗力提出不能履行合同，或者招标文件规定应当提交履约保证金而在规定的期限内未能提交的，或因失信行为被取消中标候选人资格的，采购人可以确定排名第二的中标（成交）候选人为中标人，并依此类推。</w:t>
      </w:r>
    </w:p>
    <w:p>
      <w:pPr>
        <w:spacing w:line="44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本标项允许兼投兼中。供应商可以同时参与多个标项的竞标，并且可以同时中标多个标项</w:t>
      </w:r>
    </w:p>
    <w:p>
      <w:pPr>
        <w:spacing w:line="44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四、特别说明</w:t>
      </w:r>
    </w:p>
    <w:p>
      <w:pPr>
        <w:pStyle w:val="40"/>
        <w:spacing w:after="0" w:line="440" w:lineRule="exact"/>
        <w:ind w:left="0" w:leftChars="0"/>
        <w:rPr>
          <w:rFonts w:ascii="宋体" w:hAnsi="宋体" w:cs="宋体"/>
          <w:color w:val="auto"/>
          <w:szCs w:val="21"/>
          <w:highlight w:val="none"/>
        </w:rPr>
      </w:pPr>
      <w:r>
        <w:rPr>
          <w:rFonts w:hint="eastAsia" w:ascii="宋体" w:hAnsi="宋体" w:cs="宋体"/>
          <w:color w:val="auto"/>
          <w:szCs w:val="21"/>
          <w:highlight w:val="none"/>
        </w:rPr>
        <w:t>评审时，磋商小组认为供应商的报价明显低于其他通过符合性审查供应商的报价，有可能影响产品质量或者不能诚信履约的，可要求其在评标现场合理的时间内按以下成本构成科目以书面方式提供计算数据及计算方法作为报价合理性的证明资料：包括所需材料、管理费用、人员成本构成、税收等所有成本和利润。供应商也可直接在响应文件中提供上述资料以避免因无法及时提供说明而导致可能被磋商小组作为无效响应处理。如果供应商不能合理说明或者提供的有关证明材料不完整，不能证明其报价合理性的，磋商小组应当将其作为无效投标处理。供应商书面说明应当签字确认或者加盖公章，否则无效。</w:t>
      </w:r>
    </w:p>
    <w:sectPr>
      <w:pgSz w:w="11906" w:h="16838"/>
      <w:pgMar w:top="1134" w:right="1247" w:bottom="1134" w:left="1247" w:header="851" w:footer="131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大黑简体2.">
    <w:altName w:val="黑体"/>
    <w:panose1 w:val="00000000000000000000"/>
    <w:charset w:val="86"/>
    <w:family w:val="swiss"/>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fldChar w:fldCharType="begin"/>
                          </w:r>
                          <w:r>
                            <w:instrText xml:space="preserve"> PAGE  \* MERGEFORMAT </w:instrText>
                          </w:r>
                          <w:r>
                            <w:fldChar w:fldCharType="separate"/>
                          </w:r>
                          <w:r>
                            <w:t>108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108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5"/>
      </w:rPr>
    </w:pPr>
    <w:r>
      <w:fldChar w:fldCharType="begin"/>
    </w:r>
    <w:r>
      <w:rPr>
        <w:rStyle w:val="45"/>
      </w:rPr>
      <w:instrText xml:space="preserve">PAGE  </w:instrText>
    </w:r>
    <w:r>
      <w:fldChar w:fldCharType="separate"/>
    </w:r>
    <w:r>
      <w:rPr>
        <w:rStyle w:val="45"/>
      </w:rPr>
      <w:t>2</w:t>
    </w:r>
    <w:r>
      <w:fldChar w:fldCharType="end"/>
    </w:r>
  </w:p>
  <w:p>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t>17</w:t>
    </w:r>
  </w:p>
  <w:p>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fldChar w:fldCharType="begin"/>
                          </w:r>
                          <w:r>
                            <w:instrText xml:space="preserve"> PAGE  \* MERGEFORMAT </w:instrText>
                          </w:r>
                          <w:r>
                            <w:fldChar w:fldCharType="separate"/>
                          </w:r>
                          <w:r>
                            <w:t>115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115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5"/>
      </w:rPr>
    </w:pPr>
    <w:r>
      <w:fldChar w:fldCharType="begin"/>
    </w:r>
    <w:r>
      <w:rPr>
        <w:rStyle w:val="45"/>
      </w:rPr>
      <w:instrText xml:space="preserve">PAGE  </w:instrText>
    </w:r>
    <w:r>
      <w:fldChar w:fldCharType="separate"/>
    </w:r>
    <w:r>
      <w:rPr>
        <w:rStyle w:val="45"/>
      </w:rPr>
      <w:t>2</w:t>
    </w:r>
    <w:r>
      <w:fldChar w:fldCharType="end"/>
    </w:r>
  </w:p>
  <w:p>
    <w:pPr>
      <w:pStyle w:val="2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t>17</w:t>
    </w:r>
  </w:p>
  <w:p>
    <w:pPr>
      <w:pStyle w:val="2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fldChar w:fldCharType="begin"/>
                          </w:r>
                          <w:r>
                            <w:instrText xml:space="preserve"> PAGE  \* MERGEFORMAT </w:instrText>
                          </w:r>
                          <w:r>
                            <w:fldChar w:fldCharType="separate"/>
                          </w:r>
                          <w:r>
                            <w:t>126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126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E5919A"/>
    <w:multiLevelType w:val="singleLevel"/>
    <w:tmpl w:val="D7E5919A"/>
    <w:lvl w:ilvl="0" w:tentative="0">
      <w:start w:val="1"/>
      <w:numFmt w:val="decimal"/>
      <w:suff w:val="nothing"/>
      <w:lvlText w:val="%1、"/>
      <w:lvlJc w:val="left"/>
    </w:lvl>
  </w:abstractNum>
  <w:abstractNum w:abstractNumId="1">
    <w:nsid w:val="785048E6"/>
    <w:multiLevelType w:val="singleLevel"/>
    <w:tmpl w:val="785048E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wOGViMDY1ZmIyNjE1ZGVhNDVhOWMyNmE3MjU4MmEifQ=="/>
    <w:docVar w:name="KSO_WPS_MARK_KEY" w:val="2a0489cf-a869-4ecf-81ec-ac97af0ac8d4"/>
  </w:docVars>
  <w:rsids>
    <w:rsidRoot w:val="00172A27"/>
    <w:rsid w:val="0000090E"/>
    <w:rsid w:val="000015DB"/>
    <w:rsid w:val="000067C1"/>
    <w:rsid w:val="0000695D"/>
    <w:rsid w:val="00013DC2"/>
    <w:rsid w:val="0001413E"/>
    <w:rsid w:val="0002592F"/>
    <w:rsid w:val="0002786B"/>
    <w:rsid w:val="00035557"/>
    <w:rsid w:val="0004133D"/>
    <w:rsid w:val="00041B3F"/>
    <w:rsid w:val="00043E0A"/>
    <w:rsid w:val="000514EF"/>
    <w:rsid w:val="000560B8"/>
    <w:rsid w:val="00065310"/>
    <w:rsid w:val="00077CC5"/>
    <w:rsid w:val="000815B2"/>
    <w:rsid w:val="00086172"/>
    <w:rsid w:val="00093515"/>
    <w:rsid w:val="000A7C55"/>
    <w:rsid w:val="000C2708"/>
    <w:rsid w:val="000D0985"/>
    <w:rsid w:val="000D2138"/>
    <w:rsid w:val="000D4081"/>
    <w:rsid w:val="000E3C92"/>
    <w:rsid w:val="000E56CB"/>
    <w:rsid w:val="000E78EB"/>
    <w:rsid w:val="000E7901"/>
    <w:rsid w:val="000F0388"/>
    <w:rsid w:val="000F46D6"/>
    <w:rsid w:val="000F6D52"/>
    <w:rsid w:val="00102F6B"/>
    <w:rsid w:val="0010453E"/>
    <w:rsid w:val="0011098A"/>
    <w:rsid w:val="00111AF2"/>
    <w:rsid w:val="00114092"/>
    <w:rsid w:val="00114D6A"/>
    <w:rsid w:val="00115FEF"/>
    <w:rsid w:val="001318DA"/>
    <w:rsid w:val="001324F1"/>
    <w:rsid w:val="001335D8"/>
    <w:rsid w:val="0014576F"/>
    <w:rsid w:val="00152934"/>
    <w:rsid w:val="00172A27"/>
    <w:rsid w:val="001771ED"/>
    <w:rsid w:val="00184CD3"/>
    <w:rsid w:val="00187384"/>
    <w:rsid w:val="00192CF5"/>
    <w:rsid w:val="00197A96"/>
    <w:rsid w:val="001A22E8"/>
    <w:rsid w:val="001A25E3"/>
    <w:rsid w:val="001A681E"/>
    <w:rsid w:val="001B2B72"/>
    <w:rsid w:val="001B2F7C"/>
    <w:rsid w:val="001B7405"/>
    <w:rsid w:val="001C1F14"/>
    <w:rsid w:val="001C7C61"/>
    <w:rsid w:val="001D5246"/>
    <w:rsid w:val="001E73BE"/>
    <w:rsid w:val="00200139"/>
    <w:rsid w:val="002144F0"/>
    <w:rsid w:val="0023030D"/>
    <w:rsid w:val="00236F5B"/>
    <w:rsid w:val="0024402E"/>
    <w:rsid w:val="00250C35"/>
    <w:rsid w:val="0025799C"/>
    <w:rsid w:val="002664CA"/>
    <w:rsid w:val="00266C78"/>
    <w:rsid w:val="002828EE"/>
    <w:rsid w:val="00282EE6"/>
    <w:rsid w:val="00284181"/>
    <w:rsid w:val="00286316"/>
    <w:rsid w:val="00290ABF"/>
    <w:rsid w:val="002A0B70"/>
    <w:rsid w:val="002C1E03"/>
    <w:rsid w:val="002D4643"/>
    <w:rsid w:val="002E0745"/>
    <w:rsid w:val="002E2998"/>
    <w:rsid w:val="002F035C"/>
    <w:rsid w:val="002F1CE1"/>
    <w:rsid w:val="002F4EB4"/>
    <w:rsid w:val="002F524C"/>
    <w:rsid w:val="002F5959"/>
    <w:rsid w:val="002F7395"/>
    <w:rsid w:val="0032415A"/>
    <w:rsid w:val="00330926"/>
    <w:rsid w:val="00330E48"/>
    <w:rsid w:val="0033133C"/>
    <w:rsid w:val="00350B58"/>
    <w:rsid w:val="00354790"/>
    <w:rsid w:val="00363580"/>
    <w:rsid w:val="00374A13"/>
    <w:rsid w:val="003759F0"/>
    <w:rsid w:val="00376E31"/>
    <w:rsid w:val="003927CF"/>
    <w:rsid w:val="00393BED"/>
    <w:rsid w:val="003A67E8"/>
    <w:rsid w:val="003A78D2"/>
    <w:rsid w:val="003B74DD"/>
    <w:rsid w:val="003B7FF9"/>
    <w:rsid w:val="003C7AD6"/>
    <w:rsid w:val="003D69B4"/>
    <w:rsid w:val="003E2F67"/>
    <w:rsid w:val="003E346C"/>
    <w:rsid w:val="003E4FF9"/>
    <w:rsid w:val="003F36B5"/>
    <w:rsid w:val="003F4BD2"/>
    <w:rsid w:val="003F6B4E"/>
    <w:rsid w:val="004048A3"/>
    <w:rsid w:val="004073EC"/>
    <w:rsid w:val="004138F0"/>
    <w:rsid w:val="00417A17"/>
    <w:rsid w:val="00421B89"/>
    <w:rsid w:val="00436F11"/>
    <w:rsid w:val="00442B23"/>
    <w:rsid w:val="004438BE"/>
    <w:rsid w:val="00444E68"/>
    <w:rsid w:val="0044516E"/>
    <w:rsid w:val="0044614E"/>
    <w:rsid w:val="00450AE8"/>
    <w:rsid w:val="00453CAA"/>
    <w:rsid w:val="00454723"/>
    <w:rsid w:val="00457286"/>
    <w:rsid w:val="00457799"/>
    <w:rsid w:val="004646A8"/>
    <w:rsid w:val="0046526E"/>
    <w:rsid w:val="0047262E"/>
    <w:rsid w:val="00474C4D"/>
    <w:rsid w:val="00484142"/>
    <w:rsid w:val="00485BEB"/>
    <w:rsid w:val="004A1D3E"/>
    <w:rsid w:val="004A2EE5"/>
    <w:rsid w:val="004B4985"/>
    <w:rsid w:val="004B551A"/>
    <w:rsid w:val="004C3110"/>
    <w:rsid w:val="004C5291"/>
    <w:rsid w:val="004D71CD"/>
    <w:rsid w:val="004E50FE"/>
    <w:rsid w:val="004F7773"/>
    <w:rsid w:val="00500D36"/>
    <w:rsid w:val="00505534"/>
    <w:rsid w:val="00507882"/>
    <w:rsid w:val="00523F15"/>
    <w:rsid w:val="0052488F"/>
    <w:rsid w:val="00525AA5"/>
    <w:rsid w:val="00527462"/>
    <w:rsid w:val="005275EC"/>
    <w:rsid w:val="00533464"/>
    <w:rsid w:val="0054045B"/>
    <w:rsid w:val="0054736B"/>
    <w:rsid w:val="00551237"/>
    <w:rsid w:val="00556601"/>
    <w:rsid w:val="00557C30"/>
    <w:rsid w:val="00562ABC"/>
    <w:rsid w:val="00565011"/>
    <w:rsid w:val="005674DD"/>
    <w:rsid w:val="00572E67"/>
    <w:rsid w:val="005752A1"/>
    <w:rsid w:val="005808D1"/>
    <w:rsid w:val="00584495"/>
    <w:rsid w:val="005933B0"/>
    <w:rsid w:val="005B36C7"/>
    <w:rsid w:val="005B3CA7"/>
    <w:rsid w:val="005D1E87"/>
    <w:rsid w:val="005D26AC"/>
    <w:rsid w:val="005E0AC0"/>
    <w:rsid w:val="005E0F69"/>
    <w:rsid w:val="005E266D"/>
    <w:rsid w:val="005E4943"/>
    <w:rsid w:val="005E4FA7"/>
    <w:rsid w:val="005F0475"/>
    <w:rsid w:val="005F15A4"/>
    <w:rsid w:val="005F471E"/>
    <w:rsid w:val="0060128B"/>
    <w:rsid w:val="006064E1"/>
    <w:rsid w:val="00607698"/>
    <w:rsid w:val="006116A3"/>
    <w:rsid w:val="00613BEF"/>
    <w:rsid w:val="0061464B"/>
    <w:rsid w:val="00616EE6"/>
    <w:rsid w:val="00621BB0"/>
    <w:rsid w:val="00624849"/>
    <w:rsid w:val="00625B22"/>
    <w:rsid w:val="006304A8"/>
    <w:rsid w:val="006437A1"/>
    <w:rsid w:val="006446AB"/>
    <w:rsid w:val="0064641B"/>
    <w:rsid w:val="006468D9"/>
    <w:rsid w:val="0065527C"/>
    <w:rsid w:val="00661805"/>
    <w:rsid w:val="00667BAC"/>
    <w:rsid w:val="00671F7C"/>
    <w:rsid w:val="00676E82"/>
    <w:rsid w:val="00687FBE"/>
    <w:rsid w:val="00695BF2"/>
    <w:rsid w:val="006A33F2"/>
    <w:rsid w:val="006B6976"/>
    <w:rsid w:val="006B6D24"/>
    <w:rsid w:val="006B7E19"/>
    <w:rsid w:val="006C4F1C"/>
    <w:rsid w:val="006D004D"/>
    <w:rsid w:val="006D0BE3"/>
    <w:rsid w:val="006D2E71"/>
    <w:rsid w:val="006D586C"/>
    <w:rsid w:val="006E2180"/>
    <w:rsid w:val="006E4B63"/>
    <w:rsid w:val="006F70C4"/>
    <w:rsid w:val="00711C91"/>
    <w:rsid w:val="007131B1"/>
    <w:rsid w:val="00726B55"/>
    <w:rsid w:val="00730782"/>
    <w:rsid w:val="00733E84"/>
    <w:rsid w:val="00737F70"/>
    <w:rsid w:val="007609A0"/>
    <w:rsid w:val="00762CD4"/>
    <w:rsid w:val="00775DA7"/>
    <w:rsid w:val="00781360"/>
    <w:rsid w:val="00787233"/>
    <w:rsid w:val="0079150F"/>
    <w:rsid w:val="00793A6F"/>
    <w:rsid w:val="007951FD"/>
    <w:rsid w:val="007C5EC3"/>
    <w:rsid w:val="007D2FF9"/>
    <w:rsid w:val="007D5341"/>
    <w:rsid w:val="007E13F9"/>
    <w:rsid w:val="007E4478"/>
    <w:rsid w:val="007E5553"/>
    <w:rsid w:val="007F26D3"/>
    <w:rsid w:val="007F7145"/>
    <w:rsid w:val="00800876"/>
    <w:rsid w:val="0080268F"/>
    <w:rsid w:val="0081321E"/>
    <w:rsid w:val="00814689"/>
    <w:rsid w:val="0081540E"/>
    <w:rsid w:val="008219B8"/>
    <w:rsid w:val="008277DD"/>
    <w:rsid w:val="00840C78"/>
    <w:rsid w:val="00854713"/>
    <w:rsid w:val="008552AA"/>
    <w:rsid w:val="008642A9"/>
    <w:rsid w:val="00875B64"/>
    <w:rsid w:val="00881E06"/>
    <w:rsid w:val="00882368"/>
    <w:rsid w:val="00885A16"/>
    <w:rsid w:val="0089591B"/>
    <w:rsid w:val="00897C42"/>
    <w:rsid w:val="008A28E9"/>
    <w:rsid w:val="008A4B60"/>
    <w:rsid w:val="008A4D79"/>
    <w:rsid w:val="008A5290"/>
    <w:rsid w:val="008A60A6"/>
    <w:rsid w:val="008A6376"/>
    <w:rsid w:val="008B4ED6"/>
    <w:rsid w:val="008C0AB7"/>
    <w:rsid w:val="008E316B"/>
    <w:rsid w:val="008F4B8C"/>
    <w:rsid w:val="009013C7"/>
    <w:rsid w:val="00901D92"/>
    <w:rsid w:val="00902842"/>
    <w:rsid w:val="00905441"/>
    <w:rsid w:val="00910264"/>
    <w:rsid w:val="00911E65"/>
    <w:rsid w:val="009135BA"/>
    <w:rsid w:val="00914911"/>
    <w:rsid w:val="009164ED"/>
    <w:rsid w:val="00916C6C"/>
    <w:rsid w:val="00925759"/>
    <w:rsid w:val="00933875"/>
    <w:rsid w:val="00941666"/>
    <w:rsid w:val="009502DD"/>
    <w:rsid w:val="009504C8"/>
    <w:rsid w:val="0095325C"/>
    <w:rsid w:val="00971F78"/>
    <w:rsid w:val="0097344E"/>
    <w:rsid w:val="00975445"/>
    <w:rsid w:val="00986FE4"/>
    <w:rsid w:val="00994085"/>
    <w:rsid w:val="009B011B"/>
    <w:rsid w:val="009B6C14"/>
    <w:rsid w:val="009B7507"/>
    <w:rsid w:val="009C5193"/>
    <w:rsid w:val="009D21C1"/>
    <w:rsid w:val="009D59BC"/>
    <w:rsid w:val="009F0AE7"/>
    <w:rsid w:val="00A01634"/>
    <w:rsid w:val="00A04DA8"/>
    <w:rsid w:val="00A115EA"/>
    <w:rsid w:val="00A152E9"/>
    <w:rsid w:val="00A42421"/>
    <w:rsid w:val="00A51634"/>
    <w:rsid w:val="00A60374"/>
    <w:rsid w:val="00A60859"/>
    <w:rsid w:val="00A623A9"/>
    <w:rsid w:val="00A722ED"/>
    <w:rsid w:val="00A85EA8"/>
    <w:rsid w:val="00AA16DB"/>
    <w:rsid w:val="00AB3DB4"/>
    <w:rsid w:val="00AB68A1"/>
    <w:rsid w:val="00AB71E4"/>
    <w:rsid w:val="00AC22EA"/>
    <w:rsid w:val="00AC29D5"/>
    <w:rsid w:val="00AC2DBC"/>
    <w:rsid w:val="00AC73B2"/>
    <w:rsid w:val="00AD0C44"/>
    <w:rsid w:val="00AD2950"/>
    <w:rsid w:val="00AD511A"/>
    <w:rsid w:val="00AD63D3"/>
    <w:rsid w:val="00AE04FE"/>
    <w:rsid w:val="00AE3544"/>
    <w:rsid w:val="00AE7A13"/>
    <w:rsid w:val="00AF4EE7"/>
    <w:rsid w:val="00B02BD7"/>
    <w:rsid w:val="00B05C39"/>
    <w:rsid w:val="00B21E79"/>
    <w:rsid w:val="00B3085B"/>
    <w:rsid w:val="00B32F6D"/>
    <w:rsid w:val="00B33824"/>
    <w:rsid w:val="00B35A99"/>
    <w:rsid w:val="00B361A5"/>
    <w:rsid w:val="00B404D3"/>
    <w:rsid w:val="00B408AC"/>
    <w:rsid w:val="00B453E2"/>
    <w:rsid w:val="00B453F5"/>
    <w:rsid w:val="00B539BF"/>
    <w:rsid w:val="00B57027"/>
    <w:rsid w:val="00B6498C"/>
    <w:rsid w:val="00B64E1F"/>
    <w:rsid w:val="00B8384E"/>
    <w:rsid w:val="00B92702"/>
    <w:rsid w:val="00B93C7F"/>
    <w:rsid w:val="00BB6C2F"/>
    <w:rsid w:val="00BC2783"/>
    <w:rsid w:val="00BC380A"/>
    <w:rsid w:val="00BC3CB6"/>
    <w:rsid w:val="00BD1B07"/>
    <w:rsid w:val="00BD30B2"/>
    <w:rsid w:val="00BD554E"/>
    <w:rsid w:val="00BE056A"/>
    <w:rsid w:val="00BE2082"/>
    <w:rsid w:val="00BE20A1"/>
    <w:rsid w:val="00BE2888"/>
    <w:rsid w:val="00BE4F8C"/>
    <w:rsid w:val="00BF19B4"/>
    <w:rsid w:val="00BF70AB"/>
    <w:rsid w:val="00C054BC"/>
    <w:rsid w:val="00C12C5F"/>
    <w:rsid w:val="00C16A3F"/>
    <w:rsid w:val="00C35EE6"/>
    <w:rsid w:val="00C4123B"/>
    <w:rsid w:val="00C43679"/>
    <w:rsid w:val="00C450BD"/>
    <w:rsid w:val="00C51002"/>
    <w:rsid w:val="00C7124E"/>
    <w:rsid w:val="00C763AD"/>
    <w:rsid w:val="00C77867"/>
    <w:rsid w:val="00C87EED"/>
    <w:rsid w:val="00CB0360"/>
    <w:rsid w:val="00CB6C17"/>
    <w:rsid w:val="00CC7D75"/>
    <w:rsid w:val="00CF33E7"/>
    <w:rsid w:val="00D027AD"/>
    <w:rsid w:val="00D065A5"/>
    <w:rsid w:val="00D159A1"/>
    <w:rsid w:val="00D21270"/>
    <w:rsid w:val="00D21D8D"/>
    <w:rsid w:val="00D27C5C"/>
    <w:rsid w:val="00D30121"/>
    <w:rsid w:val="00D3567D"/>
    <w:rsid w:val="00D44AA3"/>
    <w:rsid w:val="00D56B12"/>
    <w:rsid w:val="00D6485C"/>
    <w:rsid w:val="00D67980"/>
    <w:rsid w:val="00D71C53"/>
    <w:rsid w:val="00D7692A"/>
    <w:rsid w:val="00D76D24"/>
    <w:rsid w:val="00D834FE"/>
    <w:rsid w:val="00D91F49"/>
    <w:rsid w:val="00DB5446"/>
    <w:rsid w:val="00DB6EAC"/>
    <w:rsid w:val="00DC055C"/>
    <w:rsid w:val="00DD09D7"/>
    <w:rsid w:val="00DE11B4"/>
    <w:rsid w:val="00DF0657"/>
    <w:rsid w:val="00DF3C49"/>
    <w:rsid w:val="00E0017A"/>
    <w:rsid w:val="00E00FCE"/>
    <w:rsid w:val="00E05C90"/>
    <w:rsid w:val="00E063CA"/>
    <w:rsid w:val="00E06EE6"/>
    <w:rsid w:val="00E205E7"/>
    <w:rsid w:val="00E238EE"/>
    <w:rsid w:val="00E34119"/>
    <w:rsid w:val="00E37FC3"/>
    <w:rsid w:val="00E41624"/>
    <w:rsid w:val="00E522FB"/>
    <w:rsid w:val="00E60EC9"/>
    <w:rsid w:val="00E63676"/>
    <w:rsid w:val="00E81204"/>
    <w:rsid w:val="00E9713C"/>
    <w:rsid w:val="00EA02C2"/>
    <w:rsid w:val="00EA5F28"/>
    <w:rsid w:val="00EB063D"/>
    <w:rsid w:val="00EC6161"/>
    <w:rsid w:val="00ED0A74"/>
    <w:rsid w:val="00ED1677"/>
    <w:rsid w:val="00ED20C3"/>
    <w:rsid w:val="00ED4402"/>
    <w:rsid w:val="00ED48AC"/>
    <w:rsid w:val="00EE1851"/>
    <w:rsid w:val="00EF6786"/>
    <w:rsid w:val="00F021D7"/>
    <w:rsid w:val="00F06689"/>
    <w:rsid w:val="00F10BA5"/>
    <w:rsid w:val="00F1201C"/>
    <w:rsid w:val="00F13D95"/>
    <w:rsid w:val="00F219EB"/>
    <w:rsid w:val="00F272D0"/>
    <w:rsid w:val="00F3159C"/>
    <w:rsid w:val="00F37635"/>
    <w:rsid w:val="00F37E03"/>
    <w:rsid w:val="00F463CE"/>
    <w:rsid w:val="00F47689"/>
    <w:rsid w:val="00F61E8C"/>
    <w:rsid w:val="00F65341"/>
    <w:rsid w:val="00F7046E"/>
    <w:rsid w:val="00F715B4"/>
    <w:rsid w:val="00F725BF"/>
    <w:rsid w:val="00F860E2"/>
    <w:rsid w:val="00F86A97"/>
    <w:rsid w:val="00F91299"/>
    <w:rsid w:val="00F96E38"/>
    <w:rsid w:val="00FA1224"/>
    <w:rsid w:val="00FA159A"/>
    <w:rsid w:val="00FA364F"/>
    <w:rsid w:val="00FB4608"/>
    <w:rsid w:val="00FB70EF"/>
    <w:rsid w:val="00FC49FB"/>
    <w:rsid w:val="00FD552A"/>
    <w:rsid w:val="00FD6C46"/>
    <w:rsid w:val="00FD6D32"/>
    <w:rsid w:val="00FE600C"/>
    <w:rsid w:val="00FF4075"/>
    <w:rsid w:val="00FF52C7"/>
    <w:rsid w:val="017F1002"/>
    <w:rsid w:val="018039CD"/>
    <w:rsid w:val="01A3661E"/>
    <w:rsid w:val="02352FCB"/>
    <w:rsid w:val="024A011D"/>
    <w:rsid w:val="03005BDD"/>
    <w:rsid w:val="031670D6"/>
    <w:rsid w:val="03FC10E3"/>
    <w:rsid w:val="04226DE4"/>
    <w:rsid w:val="042D3406"/>
    <w:rsid w:val="0446464E"/>
    <w:rsid w:val="04CE2C04"/>
    <w:rsid w:val="05313213"/>
    <w:rsid w:val="06086033"/>
    <w:rsid w:val="06B312BD"/>
    <w:rsid w:val="073A6A62"/>
    <w:rsid w:val="074167A2"/>
    <w:rsid w:val="075F1744"/>
    <w:rsid w:val="0778645F"/>
    <w:rsid w:val="07CF4447"/>
    <w:rsid w:val="07EF15E7"/>
    <w:rsid w:val="081E6C34"/>
    <w:rsid w:val="08A45612"/>
    <w:rsid w:val="08C01E1B"/>
    <w:rsid w:val="09433009"/>
    <w:rsid w:val="094A733A"/>
    <w:rsid w:val="0AF11100"/>
    <w:rsid w:val="0AF4333B"/>
    <w:rsid w:val="0B7D6C68"/>
    <w:rsid w:val="0BAB6169"/>
    <w:rsid w:val="0BB37D2F"/>
    <w:rsid w:val="0BD30502"/>
    <w:rsid w:val="0C0718FB"/>
    <w:rsid w:val="0C677253"/>
    <w:rsid w:val="0CAB6B8B"/>
    <w:rsid w:val="0E177B42"/>
    <w:rsid w:val="0E8C7D6A"/>
    <w:rsid w:val="0F1A4356"/>
    <w:rsid w:val="0F56037E"/>
    <w:rsid w:val="109C081A"/>
    <w:rsid w:val="10EB7F83"/>
    <w:rsid w:val="111A64A0"/>
    <w:rsid w:val="113423A2"/>
    <w:rsid w:val="114104C2"/>
    <w:rsid w:val="12492FB5"/>
    <w:rsid w:val="125A77F1"/>
    <w:rsid w:val="126855F2"/>
    <w:rsid w:val="129A7E11"/>
    <w:rsid w:val="12B94AA0"/>
    <w:rsid w:val="12CA6D88"/>
    <w:rsid w:val="12D4198A"/>
    <w:rsid w:val="12EA7371"/>
    <w:rsid w:val="134013C4"/>
    <w:rsid w:val="13551A69"/>
    <w:rsid w:val="13761F34"/>
    <w:rsid w:val="14481E06"/>
    <w:rsid w:val="158C0F75"/>
    <w:rsid w:val="15BE0D9D"/>
    <w:rsid w:val="15D117D4"/>
    <w:rsid w:val="1621637D"/>
    <w:rsid w:val="168077AB"/>
    <w:rsid w:val="16B21D45"/>
    <w:rsid w:val="16D21E3A"/>
    <w:rsid w:val="16F078A5"/>
    <w:rsid w:val="16F26BDC"/>
    <w:rsid w:val="1708097D"/>
    <w:rsid w:val="1732421A"/>
    <w:rsid w:val="17653C9A"/>
    <w:rsid w:val="17C26C63"/>
    <w:rsid w:val="180A18BE"/>
    <w:rsid w:val="180B37EA"/>
    <w:rsid w:val="18754534"/>
    <w:rsid w:val="188D4D39"/>
    <w:rsid w:val="18C01D90"/>
    <w:rsid w:val="18DD66FE"/>
    <w:rsid w:val="19277932"/>
    <w:rsid w:val="196B6A36"/>
    <w:rsid w:val="197F500A"/>
    <w:rsid w:val="19F442E3"/>
    <w:rsid w:val="1A101FC5"/>
    <w:rsid w:val="1A5775E2"/>
    <w:rsid w:val="1A9F5573"/>
    <w:rsid w:val="1AD5246F"/>
    <w:rsid w:val="1BA16F6F"/>
    <w:rsid w:val="1C1F4E67"/>
    <w:rsid w:val="1C41290C"/>
    <w:rsid w:val="1CAC2540"/>
    <w:rsid w:val="1CAD565A"/>
    <w:rsid w:val="1D1C1676"/>
    <w:rsid w:val="1D6E3BAA"/>
    <w:rsid w:val="1D8B2357"/>
    <w:rsid w:val="1DD64580"/>
    <w:rsid w:val="1E5E59F5"/>
    <w:rsid w:val="1E6C1A8F"/>
    <w:rsid w:val="1E7F5C4E"/>
    <w:rsid w:val="1E8F40C9"/>
    <w:rsid w:val="1ED80129"/>
    <w:rsid w:val="1FA036A7"/>
    <w:rsid w:val="1FA71630"/>
    <w:rsid w:val="1FAB284F"/>
    <w:rsid w:val="208731A6"/>
    <w:rsid w:val="2094600D"/>
    <w:rsid w:val="20BC2CB0"/>
    <w:rsid w:val="20EC75B1"/>
    <w:rsid w:val="20F875A5"/>
    <w:rsid w:val="21152809"/>
    <w:rsid w:val="211C2806"/>
    <w:rsid w:val="212968C1"/>
    <w:rsid w:val="21315554"/>
    <w:rsid w:val="21920807"/>
    <w:rsid w:val="21B666E7"/>
    <w:rsid w:val="220A45D5"/>
    <w:rsid w:val="225418B2"/>
    <w:rsid w:val="22BC61C2"/>
    <w:rsid w:val="22CF3229"/>
    <w:rsid w:val="23243130"/>
    <w:rsid w:val="23877D2A"/>
    <w:rsid w:val="2417445E"/>
    <w:rsid w:val="24BA280C"/>
    <w:rsid w:val="24EB703A"/>
    <w:rsid w:val="24EC3854"/>
    <w:rsid w:val="253003B0"/>
    <w:rsid w:val="25377199"/>
    <w:rsid w:val="258B0F50"/>
    <w:rsid w:val="25905E1C"/>
    <w:rsid w:val="26511DD2"/>
    <w:rsid w:val="266D4CF0"/>
    <w:rsid w:val="268A7D91"/>
    <w:rsid w:val="26D1775D"/>
    <w:rsid w:val="27565784"/>
    <w:rsid w:val="27FA543F"/>
    <w:rsid w:val="28467543"/>
    <w:rsid w:val="28475999"/>
    <w:rsid w:val="28710E21"/>
    <w:rsid w:val="287F40F1"/>
    <w:rsid w:val="2886652D"/>
    <w:rsid w:val="28D85D13"/>
    <w:rsid w:val="29894089"/>
    <w:rsid w:val="2A0E500A"/>
    <w:rsid w:val="2AAA0146"/>
    <w:rsid w:val="2AD2298B"/>
    <w:rsid w:val="2B01233C"/>
    <w:rsid w:val="2B157CAA"/>
    <w:rsid w:val="2B512CEB"/>
    <w:rsid w:val="2B812C0E"/>
    <w:rsid w:val="2BB06D6E"/>
    <w:rsid w:val="2BC96582"/>
    <w:rsid w:val="2BF07E80"/>
    <w:rsid w:val="2BF536D0"/>
    <w:rsid w:val="2BF94DA0"/>
    <w:rsid w:val="2C153BB2"/>
    <w:rsid w:val="2CCC1540"/>
    <w:rsid w:val="2CF51085"/>
    <w:rsid w:val="2D0E19FB"/>
    <w:rsid w:val="2D425435"/>
    <w:rsid w:val="2D4D65CE"/>
    <w:rsid w:val="2D653F91"/>
    <w:rsid w:val="2D6F0495"/>
    <w:rsid w:val="2D980D54"/>
    <w:rsid w:val="2DA5011B"/>
    <w:rsid w:val="2DF85CB5"/>
    <w:rsid w:val="2E2B4302"/>
    <w:rsid w:val="2E411387"/>
    <w:rsid w:val="2E7D0637"/>
    <w:rsid w:val="2E8C10FD"/>
    <w:rsid w:val="2EE846B5"/>
    <w:rsid w:val="2F3C7AFC"/>
    <w:rsid w:val="2F9015F7"/>
    <w:rsid w:val="2FA34028"/>
    <w:rsid w:val="2FB14BFA"/>
    <w:rsid w:val="30414815"/>
    <w:rsid w:val="30956DCA"/>
    <w:rsid w:val="31707F16"/>
    <w:rsid w:val="318575BE"/>
    <w:rsid w:val="31FA6041"/>
    <w:rsid w:val="32242510"/>
    <w:rsid w:val="32C75788"/>
    <w:rsid w:val="32FD7AE2"/>
    <w:rsid w:val="33002A5A"/>
    <w:rsid w:val="331F5904"/>
    <w:rsid w:val="339C0D25"/>
    <w:rsid w:val="33AF5DBD"/>
    <w:rsid w:val="33C70265"/>
    <w:rsid w:val="33DD16AF"/>
    <w:rsid w:val="344D5332"/>
    <w:rsid w:val="34596520"/>
    <w:rsid w:val="348B1723"/>
    <w:rsid w:val="34AC5B15"/>
    <w:rsid w:val="34B65BA8"/>
    <w:rsid w:val="356E0FA7"/>
    <w:rsid w:val="35897EE6"/>
    <w:rsid w:val="35A10D62"/>
    <w:rsid w:val="35BF41B7"/>
    <w:rsid w:val="35CF507F"/>
    <w:rsid w:val="35E02152"/>
    <w:rsid w:val="36212A2F"/>
    <w:rsid w:val="362D0AAC"/>
    <w:rsid w:val="364213EB"/>
    <w:rsid w:val="368A3AA0"/>
    <w:rsid w:val="369B3BBB"/>
    <w:rsid w:val="36A24866"/>
    <w:rsid w:val="37F83689"/>
    <w:rsid w:val="37F84106"/>
    <w:rsid w:val="38741B00"/>
    <w:rsid w:val="391A2AB5"/>
    <w:rsid w:val="39333B77"/>
    <w:rsid w:val="39355C2E"/>
    <w:rsid w:val="395F5EFD"/>
    <w:rsid w:val="3A3A0F35"/>
    <w:rsid w:val="3A4D0C68"/>
    <w:rsid w:val="3A962A0D"/>
    <w:rsid w:val="3B857EF5"/>
    <w:rsid w:val="3B9F72A2"/>
    <w:rsid w:val="3BF57164"/>
    <w:rsid w:val="3BF9786A"/>
    <w:rsid w:val="3C2D3BCC"/>
    <w:rsid w:val="3C2F7A2F"/>
    <w:rsid w:val="3C5854FA"/>
    <w:rsid w:val="3CA43637"/>
    <w:rsid w:val="3CB93B8B"/>
    <w:rsid w:val="3D2B3420"/>
    <w:rsid w:val="3D2E039F"/>
    <w:rsid w:val="3D697604"/>
    <w:rsid w:val="3DD746CE"/>
    <w:rsid w:val="3E0237FE"/>
    <w:rsid w:val="3E4D474F"/>
    <w:rsid w:val="3EB1187A"/>
    <w:rsid w:val="3ECD050F"/>
    <w:rsid w:val="3F635508"/>
    <w:rsid w:val="3F814DC4"/>
    <w:rsid w:val="3F942A14"/>
    <w:rsid w:val="3F9654C5"/>
    <w:rsid w:val="3FB129AA"/>
    <w:rsid w:val="3FC3035B"/>
    <w:rsid w:val="40395517"/>
    <w:rsid w:val="405C37BB"/>
    <w:rsid w:val="411822B4"/>
    <w:rsid w:val="415F5E84"/>
    <w:rsid w:val="416536D7"/>
    <w:rsid w:val="41EE7883"/>
    <w:rsid w:val="42195183"/>
    <w:rsid w:val="42AC5638"/>
    <w:rsid w:val="42D61C15"/>
    <w:rsid w:val="43DE2931"/>
    <w:rsid w:val="451D115F"/>
    <w:rsid w:val="451D54D5"/>
    <w:rsid w:val="453F34B5"/>
    <w:rsid w:val="458E4E11"/>
    <w:rsid w:val="46154283"/>
    <w:rsid w:val="4654512D"/>
    <w:rsid w:val="467E22DA"/>
    <w:rsid w:val="46BD4E02"/>
    <w:rsid w:val="47404735"/>
    <w:rsid w:val="47F45591"/>
    <w:rsid w:val="480D36D1"/>
    <w:rsid w:val="48834FAF"/>
    <w:rsid w:val="48AD3FC8"/>
    <w:rsid w:val="48EA5263"/>
    <w:rsid w:val="492E08FE"/>
    <w:rsid w:val="49463658"/>
    <w:rsid w:val="49CC7779"/>
    <w:rsid w:val="49F92C03"/>
    <w:rsid w:val="4A4A6F73"/>
    <w:rsid w:val="4A9F73F2"/>
    <w:rsid w:val="4B065F3E"/>
    <w:rsid w:val="4BA03308"/>
    <w:rsid w:val="4BE800A4"/>
    <w:rsid w:val="4CCA41E9"/>
    <w:rsid w:val="4D505D63"/>
    <w:rsid w:val="4DB276E1"/>
    <w:rsid w:val="4E05713A"/>
    <w:rsid w:val="4E064E9F"/>
    <w:rsid w:val="4E510D5E"/>
    <w:rsid w:val="4E9042A5"/>
    <w:rsid w:val="4EBD41B7"/>
    <w:rsid w:val="4EC105A5"/>
    <w:rsid w:val="4F6A193E"/>
    <w:rsid w:val="50281F8E"/>
    <w:rsid w:val="50926F7D"/>
    <w:rsid w:val="509803E1"/>
    <w:rsid w:val="50B225EC"/>
    <w:rsid w:val="51062AD6"/>
    <w:rsid w:val="511C5A4B"/>
    <w:rsid w:val="5140229F"/>
    <w:rsid w:val="51886AFA"/>
    <w:rsid w:val="51CB7009"/>
    <w:rsid w:val="51F86337"/>
    <w:rsid w:val="520854F6"/>
    <w:rsid w:val="525726F1"/>
    <w:rsid w:val="529979C0"/>
    <w:rsid w:val="52C34DF2"/>
    <w:rsid w:val="52C46295"/>
    <w:rsid w:val="52FE3879"/>
    <w:rsid w:val="53351E09"/>
    <w:rsid w:val="53C12459"/>
    <w:rsid w:val="53FB15D1"/>
    <w:rsid w:val="5459179A"/>
    <w:rsid w:val="54AB08B3"/>
    <w:rsid w:val="54AE0B6A"/>
    <w:rsid w:val="54B81A07"/>
    <w:rsid w:val="55877D4E"/>
    <w:rsid w:val="55BB0964"/>
    <w:rsid w:val="55C06351"/>
    <w:rsid w:val="55DA7F72"/>
    <w:rsid w:val="561D4A1B"/>
    <w:rsid w:val="56525EF4"/>
    <w:rsid w:val="56650268"/>
    <w:rsid w:val="567A01AB"/>
    <w:rsid w:val="56B81FA2"/>
    <w:rsid w:val="576F766B"/>
    <w:rsid w:val="57B40121"/>
    <w:rsid w:val="57EB5345"/>
    <w:rsid w:val="57EE7F31"/>
    <w:rsid w:val="5872200A"/>
    <w:rsid w:val="5885761A"/>
    <w:rsid w:val="593755F3"/>
    <w:rsid w:val="59534355"/>
    <w:rsid w:val="59BD4B74"/>
    <w:rsid w:val="5A90351C"/>
    <w:rsid w:val="5ADF6F86"/>
    <w:rsid w:val="5AFA0685"/>
    <w:rsid w:val="5B0736DF"/>
    <w:rsid w:val="5B3F474C"/>
    <w:rsid w:val="5B827561"/>
    <w:rsid w:val="5BE52BC1"/>
    <w:rsid w:val="5C1F00E3"/>
    <w:rsid w:val="5C582DE4"/>
    <w:rsid w:val="5C755C8B"/>
    <w:rsid w:val="5C7E5E7E"/>
    <w:rsid w:val="5C985053"/>
    <w:rsid w:val="5CC55DD5"/>
    <w:rsid w:val="5DF60B1D"/>
    <w:rsid w:val="5E007E87"/>
    <w:rsid w:val="5E0D6E04"/>
    <w:rsid w:val="5E1C72DF"/>
    <w:rsid w:val="5E1E00A2"/>
    <w:rsid w:val="5E5E0920"/>
    <w:rsid w:val="5E6563CE"/>
    <w:rsid w:val="5E743A3E"/>
    <w:rsid w:val="5EA5614C"/>
    <w:rsid w:val="5ED03D00"/>
    <w:rsid w:val="5FCB6BB4"/>
    <w:rsid w:val="5FE0097E"/>
    <w:rsid w:val="601B5EA1"/>
    <w:rsid w:val="603253DE"/>
    <w:rsid w:val="60591AB4"/>
    <w:rsid w:val="61405198"/>
    <w:rsid w:val="615A76D5"/>
    <w:rsid w:val="61851963"/>
    <w:rsid w:val="61DB1E7F"/>
    <w:rsid w:val="623A203D"/>
    <w:rsid w:val="62A45FB5"/>
    <w:rsid w:val="62D87EFC"/>
    <w:rsid w:val="63005C83"/>
    <w:rsid w:val="63A92B04"/>
    <w:rsid w:val="64562C2A"/>
    <w:rsid w:val="64570A30"/>
    <w:rsid w:val="647F66FF"/>
    <w:rsid w:val="653E0389"/>
    <w:rsid w:val="655C47AD"/>
    <w:rsid w:val="656D2474"/>
    <w:rsid w:val="65920B3A"/>
    <w:rsid w:val="665F049D"/>
    <w:rsid w:val="670642A3"/>
    <w:rsid w:val="6739269B"/>
    <w:rsid w:val="67DC5103"/>
    <w:rsid w:val="68171689"/>
    <w:rsid w:val="68527CF8"/>
    <w:rsid w:val="68C915E9"/>
    <w:rsid w:val="692E42FC"/>
    <w:rsid w:val="69EB46B7"/>
    <w:rsid w:val="6A122FEF"/>
    <w:rsid w:val="6A31226B"/>
    <w:rsid w:val="6A4609BE"/>
    <w:rsid w:val="6A4E53A8"/>
    <w:rsid w:val="6A6448E1"/>
    <w:rsid w:val="6AA327D8"/>
    <w:rsid w:val="6BD855C8"/>
    <w:rsid w:val="6C366156"/>
    <w:rsid w:val="6C3B7778"/>
    <w:rsid w:val="6C8330C7"/>
    <w:rsid w:val="6D5E3CDA"/>
    <w:rsid w:val="6DBB644B"/>
    <w:rsid w:val="6E166FE8"/>
    <w:rsid w:val="6E4726C8"/>
    <w:rsid w:val="6E505CF5"/>
    <w:rsid w:val="6E5D6FEF"/>
    <w:rsid w:val="6E684047"/>
    <w:rsid w:val="6EB21F1C"/>
    <w:rsid w:val="6EDC78D7"/>
    <w:rsid w:val="6EDE4FCA"/>
    <w:rsid w:val="6EE96A8E"/>
    <w:rsid w:val="6F5C37C2"/>
    <w:rsid w:val="6F8D32DA"/>
    <w:rsid w:val="6FC34B45"/>
    <w:rsid w:val="6FD25E45"/>
    <w:rsid w:val="6FFC1CFD"/>
    <w:rsid w:val="708D464B"/>
    <w:rsid w:val="70F27898"/>
    <w:rsid w:val="713129D2"/>
    <w:rsid w:val="7188610C"/>
    <w:rsid w:val="72805BCB"/>
    <w:rsid w:val="73615A08"/>
    <w:rsid w:val="73D826FF"/>
    <w:rsid w:val="744A07D5"/>
    <w:rsid w:val="74813F47"/>
    <w:rsid w:val="74A62AE9"/>
    <w:rsid w:val="757374AE"/>
    <w:rsid w:val="75CA2B09"/>
    <w:rsid w:val="760A66CD"/>
    <w:rsid w:val="76576F10"/>
    <w:rsid w:val="76C863E9"/>
    <w:rsid w:val="77C30BC6"/>
    <w:rsid w:val="77C8624F"/>
    <w:rsid w:val="77DA252A"/>
    <w:rsid w:val="77E8339E"/>
    <w:rsid w:val="77EE3FE7"/>
    <w:rsid w:val="786A6925"/>
    <w:rsid w:val="78B64DDB"/>
    <w:rsid w:val="78D17CF6"/>
    <w:rsid w:val="78F51C72"/>
    <w:rsid w:val="7936053E"/>
    <w:rsid w:val="7A3063DE"/>
    <w:rsid w:val="7A5536F5"/>
    <w:rsid w:val="7AC6441E"/>
    <w:rsid w:val="7AD03B56"/>
    <w:rsid w:val="7AFD74CC"/>
    <w:rsid w:val="7C9A51F7"/>
    <w:rsid w:val="7D482EAC"/>
    <w:rsid w:val="7D5E5958"/>
    <w:rsid w:val="7D7A213C"/>
    <w:rsid w:val="7DB920A8"/>
    <w:rsid w:val="7E13413D"/>
    <w:rsid w:val="7E1E065F"/>
    <w:rsid w:val="7E657413"/>
    <w:rsid w:val="7E952F4B"/>
    <w:rsid w:val="7E982A38"/>
    <w:rsid w:val="7EAC11C6"/>
    <w:rsid w:val="7EB561B5"/>
    <w:rsid w:val="7EE579CB"/>
    <w:rsid w:val="7EED41C0"/>
    <w:rsid w:val="7EFE565A"/>
    <w:rsid w:val="7F21638D"/>
    <w:rsid w:val="7F632560"/>
    <w:rsid w:val="7FA31F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qFormat="1" w:unhideWhenUsed="0" w:uiPriority="99" w:name="toc 6"/>
    <w:lsdException w:uiPriority="39" w:name="toc 7"/>
    <w:lsdException w:uiPriority="39" w:name="toc 8"/>
    <w:lsdException w:qFormat="1" w:unhideWhenUsed="0" w:uiPriority="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qFormat="1" w:unhideWhenUsed="0" w:uiPriority="0"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92"/>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126"/>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59"/>
    <w:autoRedefine/>
    <w:qFormat/>
    <w:uiPriority w:val="0"/>
    <w:pPr>
      <w:keepNext/>
      <w:keepLines/>
      <w:spacing w:before="260" w:after="260" w:line="416" w:lineRule="auto"/>
      <w:outlineLvl w:val="2"/>
    </w:pPr>
    <w:rPr>
      <w:b/>
      <w:bCs/>
      <w:kern w:val="0"/>
      <w:sz w:val="32"/>
      <w:szCs w:val="32"/>
    </w:rPr>
  </w:style>
  <w:style w:type="paragraph" w:styleId="7">
    <w:name w:val="heading 4"/>
    <w:basedOn w:val="1"/>
    <w:next w:val="1"/>
    <w:autoRedefine/>
    <w:qFormat/>
    <w:uiPriority w:val="0"/>
    <w:pPr>
      <w:keepNext/>
      <w:keepLines/>
      <w:spacing w:before="280" w:after="290" w:line="376" w:lineRule="auto"/>
      <w:outlineLvl w:val="3"/>
    </w:pPr>
    <w:rPr>
      <w:rFonts w:ascii="Cambria" w:hAnsi="Cambria"/>
      <w:b/>
      <w:bCs/>
      <w:sz w:val="28"/>
      <w:szCs w:val="28"/>
    </w:rPr>
  </w:style>
  <w:style w:type="paragraph" w:styleId="8">
    <w:name w:val="heading 5"/>
    <w:basedOn w:val="1"/>
    <w:next w:val="1"/>
    <w:link w:val="109"/>
    <w:autoRedefine/>
    <w:qFormat/>
    <w:uiPriority w:val="0"/>
    <w:pPr>
      <w:keepNext/>
      <w:keepLines/>
      <w:spacing w:before="280" w:after="290" w:line="376" w:lineRule="auto"/>
      <w:outlineLvl w:val="4"/>
    </w:pPr>
    <w:rPr>
      <w:rFonts w:ascii="Calibri" w:hAnsi="Calibri"/>
      <w:b/>
      <w:bCs/>
      <w:sz w:val="28"/>
      <w:szCs w:val="28"/>
    </w:rPr>
  </w:style>
  <w:style w:type="paragraph" w:styleId="9">
    <w:name w:val="heading 6"/>
    <w:basedOn w:val="1"/>
    <w:next w:val="1"/>
    <w:link w:val="62"/>
    <w:autoRedefine/>
    <w:qFormat/>
    <w:uiPriority w:val="0"/>
    <w:pPr>
      <w:keepNext/>
      <w:keepLines/>
      <w:spacing w:before="240" w:after="64" w:line="320" w:lineRule="auto"/>
      <w:outlineLvl w:val="5"/>
    </w:pPr>
    <w:rPr>
      <w:rFonts w:ascii="Calibri Light" w:hAnsi="Calibri Light"/>
      <w:b/>
      <w:bCs/>
      <w:sz w:val="24"/>
    </w:rPr>
  </w:style>
  <w:style w:type="paragraph" w:styleId="10">
    <w:name w:val="heading 7"/>
    <w:basedOn w:val="1"/>
    <w:next w:val="11"/>
    <w:link w:val="52"/>
    <w:autoRedefine/>
    <w:qFormat/>
    <w:uiPriority w:val="0"/>
    <w:pPr>
      <w:keepNext/>
      <w:keepLines/>
      <w:spacing w:before="240" w:after="64" w:line="320" w:lineRule="auto"/>
      <w:outlineLvl w:val="6"/>
    </w:pPr>
    <w:rPr>
      <w:b/>
      <w:sz w:val="24"/>
    </w:rPr>
  </w:style>
  <w:style w:type="paragraph" w:styleId="12">
    <w:name w:val="heading 8"/>
    <w:basedOn w:val="1"/>
    <w:next w:val="11"/>
    <w:link w:val="138"/>
    <w:autoRedefine/>
    <w:qFormat/>
    <w:uiPriority w:val="0"/>
    <w:pPr>
      <w:keepNext/>
      <w:keepLines/>
      <w:spacing w:before="240" w:after="64" w:line="320" w:lineRule="auto"/>
      <w:outlineLvl w:val="7"/>
    </w:pPr>
    <w:rPr>
      <w:rFonts w:ascii="Arial" w:hAnsi="Arial" w:eastAsia="黑体"/>
      <w:sz w:val="24"/>
    </w:rPr>
  </w:style>
  <w:style w:type="paragraph" w:styleId="13">
    <w:name w:val="heading 9"/>
    <w:basedOn w:val="1"/>
    <w:next w:val="11"/>
    <w:link w:val="101"/>
    <w:autoRedefine/>
    <w:qFormat/>
    <w:uiPriority w:val="0"/>
    <w:pPr>
      <w:keepNext/>
      <w:keepLines/>
      <w:spacing w:before="240" w:after="64" w:line="320" w:lineRule="auto"/>
      <w:outlineLvl w:val="8"/>
    </w:pPr>
    <w:rPr>
      <w:rFonts w:ascii="Arial" w:hAnsi="Arial" w:eastAsia="黑体"/>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link w:val="75"/>
    <w:autoRedefine/>
    <w:unhideWhenUsed/>
    <w:qFormat/>
    <w:uiPriority w:val="0"/>
    <w:pPr>
      <w:spacing w:after="120" w:line="480" w:lineRule="auto"/>
      <w:ind w:left="420" w:leftChars="200"/>
    </w:pPr>
  </w:style>
  <w:style w:type="paragraph" w:styleId="3">
    <w:name w:val="macro"/>
    <w:link w:val="56"/>
    <w:autoRedefine/>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lang w:val="en-US" w:eastAsia="zh-CN" w:bidi="ar-SA"/>
    </w:rPr>
  </w:style>
  <w:style w:type="paragraph" w:styleId="11">
    <w:name w:val="Normal Indent"/>
    <w:basedOn w:val="1"/>
    <w:link w:val="103"/>
    <w:autoRedefine/>
    <w:qFormat/>
    <w:uiPriority w:val="0"/>
    <w:pPr>
      <w:ind w:firstLine="420"/>
    </w:pPr>
    <w:rPr>
      <w:szCs w:val="20"/>
    </w:rPr>
  </w:style>
  <w:style w:type="paragraph" w:styleId="14">
    <w:name w:val="List Number"/>
    <w:basedOn w:val="1"/>
    <w:autoRedefine/>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autoRedefine/>
    <w:qFormat/>
    <w:uiPriority w:val="0"/>
    <w:pPr>
      <w:spacing w:before="152" w:after="160"/>
    </w:pPr>
    <w:rPr>
      <w:rFonts w:ascii="Arial" w:hAnsi="Arial" w:eastAsia="黑体" w:cs="Arial"/>
      <w:sz w:val="20"/>
      <w:szCs w:val="20"/>
    </w:rPr>
  </w:style>
  <w:style w:type="paragraph" w:styleId="16">
    <w:name w:val="Document Map"/>
    <w:basedOn w:val="1"/>
    <w:link w:val="131"/>
    <w:autoRedefine/>
    <w:semiHidden/>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link w:val="133"/>
    <w:autoRedefine/>
    <w:qFormat/>
    <w:uiPriority w:val="0"/>
    <w:pPr>
      <w:spacing w:line="500" w:lineRule="exact"/>
    </w:pPr>
    <w:rPr>
      <w:b/>
      <w:bCs/>
      <w:kern w:val="0"/>
      <w:sz w:val="24"/>
    </w:rPr>
  </w:style>
  <w:style w:type="paragraph" w:styleId="19">
    <w:name w:val="Body Text"/>
    <w:basedOn w:val="1"/>
    <w:link w:val="83"/>
    <w:autoRedefine/>
    <w:unhideWhenUsed/>
    <w:qFormat/>
    <w:uiPriority w:val="99"/>
    <w:pPr>
      <w:spacing w:after="120"/>
    </w:pPr>
  </w:style>
  <w:style w:type="paragraph" w:styleId="20">
    <w:name w:val="Body Text Indent"/>
    <w:basedOn w:val="1"/>
    <w:link w:val="55"/>
    <w:autoRedefine/>
    <w:qFormat/>
    <w:uiPriority w:val="0"/>
    <w:pPr>
      <w:ind w:firstLine="830" w:firstLineChars="352"/>
    </w:pPr>
    <w:rPr>
      <w:rFonts w:ascii="仿宋_GB2312" w:eastAsia="仿宋_GB2312"/>
      <w:kern w:val="0"/>
      <w:sz w:val="32"/>
      <w:szCs w:val="20"/>
    </w:rPr>
  </w:style>
  <w:style w:type="paragraph" w:styleId="21">
    <w:name w:val="List Number 3"/>
    <w:basedOn w:val="1"/>
    <w:autoRedefine/>
    <w:qFormat/>
    <w:uiPriority w:val="0"/>
    <w:pPr>
      <w:tabs>
        <w:tab w:val="left" w:pos="900"/>
      </w:tabs>
      <w:ind w:left="900" w:hanging="420"/>
    </w:pPr>
  </w:style>
  <w:style w:type="paragraph" w:styleId="22">
    <w:name w:val="List 2"/>
    <w:basedOn w:val="1"/>
    <w:autoRedefine/>
    <w:qFormat/>
    <w:uiPriority w:val="0"/>
    <w:pPr>
      <w:ind w:left="100" w:leftChars="200" w:hanging="200" w:hangingChars="200"/>
    </w:pPr>
    <w:rPr>
      <w:sz w:val="28"/>
    </w:rPr>
  </w:style>
  <w:style w:type="paragraph" w:styleId="23">
    <w:name w:val="Plain Text"/>
    <w:basedOn w:val="1"/>
    <w:next w:val="4"/>
    <w:link w:val="121"/>
    <w:autoRedefine/>
    <w:qFormat/>
    <w:uiPriority w:val="0"/>
    <w:rPr>
      <w:rFonts w:ascii="宋体" w:hAnsi="Courier New"/>
      <w:kern w:val="0"/>
      <w:sz w:val="20"/>
      <w:szCs w:val="21"/>
    </w:rPr>
  </w:style>
  <w:style w:type="paragraph" w:styleId="24">
    <w:name w:val="Date"/>
    <w:basedOn w:val="1"/>
    <w:next w:val="1"/>
    <w:link w:val="50"/>
    <w:autoRedefine/>
    <w:qFormat/>
    <w:uiPriority w:val="0"/>
    <w:pPr>
      <w:ind w:left="100" w:leftChars="2500"/>
    </w:pPr>
  </w:style>
  <w:style w:type="paragraph" w:styleId="25">
    <w:name w:val="Balloon Text"/>
    <w:basedOn w:val="1"/>
    <w:link w:val="113"/>
    <w:autoRedefine/>
    <w:semiHidden/>
    <w:qFormat/>
    <w:uiPriority w:val="0"/>
    <w:rPr>
      <w:sz w:val="18"/>
      <w:szCs w:val="18"/>
    </w:rPr>
  </w:style>
  <w:style w:type="paragraph" w:styleId="26">
    <w:name w:val="footer"/>
    <w:basedOn w:val="1"/>
    <w:link w:val="116"/>
    <w:autoRedefine/>
    <w:unhideWhenUsed/>
    <w:qFormat/>
    <w:uiPriority w:val="0"/>
    <w:pPr>
      <w:tabs>
        <w:tab w:val="center" w:pos="4153"/>
        <w:tab w:val="right" w:pos="8306"/>
      </w:tabs>
      <w:snapToGrid w:val="0"/>
      <w:jc w:val="left"/>
    </w:pPr>
    <w:rPr>
      <w:rFonts w:ascii="Calibri" w:hAnsi="Calibri"/>
      <w:kern w:val="0"/>
      <w:sz w:val="18"/>
      <w:szCs w:val="18"/>
    </w:rPr>
  </w:style>
  <w:style w:type="paragraph" w:styleId="27">
    <w:name w:val="envelope return"/>
    <w:basedOn w:val="1"/>
    <w:autoRedefine/>
    <w:qFormat/>
    <w:uiPriority w:val="0"/>
    <w:pPr>
      <w:snapToGrid w:val="0"/>
    </w:pPr>
    <w:rPr>
      <w:rFonts w:ascii="Arial" w:hAnsi="Arial"/>
    </w:rPr>
  </w:style>
  <w:style w:type="paragraph" w:styleId="28">
    <w:name w:val="header"/>
    <w:basedOn w:val="1"/>
    <w:link w:val="107"/>
    <w:autoRedefine/>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9">
    <w:name w:val="toc 1"/>
    <w:basedOn w:val="1"/>
    <w:next w:val="1"/>
    <w:autoRedefine/>
    <w:qFormat/>
    <w:uiPriority w:val="39"/>
    <w:pPr>
      <w:tabs>
        <w:tab w:val="right" w:leader="dot" w:pos="9000"/>
      </w:tabs>
      <w:spacing w:before="120" w:after="120" w:line="480" w:lineRule="exact"/>
      <w:ind w:left="126" w:leftChars="60" w:firstLine="440" w:firstLineChars="137"/>
      <w:jc w:val="left"/>
    </w:pPr>
    <w:rPr>
      <w:rFonts w:ascii="宋体" w:hAnsi="宋体"/>
      <w:b/>
      <w:bCs/>
      <w:caps/>
      <w:sz w:val="24"/>
    </w:rPr>
  </w:style>
  <w:style w:type="paragraph" w:styleId="30">
    <w:name w:val="List"/>
    <w:basedOn w:val="1"/>
    <w:autoRedefine/>
    <w:qFormat/>
    <w:uiPriority w:val="0"/>
    <w:pPr>
      <w:ind w:left="200" w:hanging="200" w:hangingChars="200"/>
    </w:pPr>
    <w:rPr>
      <w:sz w:val="28"/>
    </w:rPr>
  </w:style>
  <w:style w:type="paragraph" w:styleId="31">
    <w:name w:val="toc 6"/>
    <w:basedOn w:val="1"/>
    <w:next w:val="1"/>
    <w:autoRedefine/>
    <w:semiHidden/>
    <w:qFormat/>
    <w:uiPriority w:val="99"/>
    <w:pPr>
      <w:ind w:left="2100" w:leftChars="1000"/>
    </w:pPr>
  </w:style>
  <w:style w:type="paragraph" w:styleId="32">
    <w:name w:val="Body Text Indent 3"/>
    <w:basedOn w:val="1"/>
    <w:link w:val="97"/>
    <w:autoRedefine/>
    <w:qFormat/>
    <w:uiPriority w:val="0"/>
    <w:pPr>
      <w:spacing w:after="120"/>
      <w:ind w:left="420" w:leftChars="200"/>
    </w:pPr>
    <w:rPr>
      <w:kern w:val="0"/>
      <w:sz w:val="16"/>
      <w:szCs w:val="16"/>
    </w:rPr>
  </w:style>
  <w:style w:type="paragraph" w:styleId="33">
    <w:name w:val="toc 9"/>
    <w:basedOn w:val="1"/>
    <w:next w:val="1"/>
    <w:autoRedefine/>
    <w:semiHidden/>
    <w:qFormat/>
    <w:uiPriority w:val="0"/>
    <w:pPr>
      <w:ind w:left="3360" w:leftChars="1600"/>
    </w:pPr>
    <w:rPr>
      <w:rFonts w:ascii="宋体" w:hAnsi="Courier New"/>
      <w:szCs w:val="20"/>
    </w:rPr>
  </w:style>
  <w:style w:type="paragraph" w:styleId="34">
    <w:name w:val="Body Text 2"/>
    <w:basedOn w:val="1"/>
    <w:link w:val="146"/>
    <w:autoRedefine/>
    <w:qFormat/>
    <w:uiPriority w:val="0"/>
    <w:pPr>
      <w:spacing w:after="120" w:line="480" w:lineRule="auto"/>
    </w:pPr>
    <w:rPr>
      <w:kern w:val="0"/>
      <w:sz w:val="20"/>
    </w:rPr>
  </w:style>
  <w:style w:type="paragraph" w:styleId="35">
    <w:name w:val="HTML Preformatted"/>
    <w:basedOn w:val="1"/>
    <w:link w:val="115"/>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6">
    <w:name w:val="Normal (Web)"/>
    <w:basedOn w:val="1"/>
    <w:autoRedefine/>
    <w:qFormat/>
    <w:uiPriority w:val="0"/>
    <w:pPr>
      <w:widowControl/>
      <w:spacing w:before="100" w:beforeAutospacing="1" w:after="100" w:afterAutospacing="1"/>
      <w:jc w:val="left"/>
    </w:pPr>
    <w:rPr>
      <w:rFonts w:ascii="宋体" w:hAnsi="宋体" w:cs="宋体"/>
      <w:color w:val="000000"/>
      <w:kern w:val="0"/>
      <w:sz w:val="24"/>
    </w:rPr>
  </w:style>
  <w:style w:type="paragraph" w:styleId="37">
    <w:name w:val="index 1"/>
    <w:basedOn w:val="1"/>
    <w:next w:val="1"/>
    <w:autoRedefine/>
    <w:semiHidden/>
    <w:qFormat/>
    <w:uiPriority w:val="0"/>
    <w:pPr>
      <w:spacing w:line="400" w:lineRule="exact"/>
      <w:ind w:firstLine="420" w:firstLineChars="200"/>
    </w:pPr>
    <w:rPr>
      <w:rFonts w:ascii="宋体" w:hAnsi="Courier New"/>
      <w:b/>
      <w:szCs w:val="20"/>
    </w:rPr>
  </w:style>
  <w:style w:type="paragraph" w:styleId="38">
    <w:name w:val="annotation subject"/>
    <w:basedOn w:val="17"/>
    <w:next w:val="17"/>
    <w:link w:val="51"/>
    <w:autoRedefine/>
    <w:semiHidden/>
    <w:qFormat/>
    <w:uiPriority w:val="0"/>
    <w:rPr>
      <w:b/>
      <w:bCs/>
    </w:rPr>
  </w:style>
  <w:style w:type="paragraph" w:styleId="39">
    <w:name w:val="Body Text First Indent"/>
    <w:basedOn w:val="19"/>
    <w:next w:val="31"/>
    <w:autoRedefine/>
    <w:unhideWhenUsed/>
    <w:qFormat/>
    <w:uiPriority w:val="99"/>
    <w:pPr>
      <w:ind w:firstLine="420" w:firstLineChars="100"/>
    </w:pPr>
  </w:style>
  <w:style w:type="paragraph" w:styleId="40">
    <w:name w:val="Body Text First Indent 2"/>
    <w:basedOn w:val="20"/>
    <w:next w:val="1"/>
    <w:link w:val="210"/>
    <w:autoRedefine/>
    <w:qFormat/>
    <w:uiPriority w:val="0"/>
    <w:pPr>
      <w:spacing w:after="120"/>
      <w:ind w:left="420" w:leftChars="200" w:firstLine="420" w:firstLineChars="200"/>
    </w:pPr>
    <w:rPr>
      <w:rFonts w:ascii="Times New Roman" w:eastAsia="宋体"/>
      <w:kern w:val="2"/>
      <w:sz w:val="21"/>
      <w:szCs w:val="24"/>
    </w:rPr>
  </w:style>
  <w:style w:type="table" w:styleId="42">
    <w:name w:val="Table Grid"/>
    <w:basedOn w:val="41"/>
    <w:autoRedefine/>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44">
    <w:name w:val="Strong"/>
    <w:autoRedefine/>
    <w:qFormat/>
    <w:uiPriority w:val="22"/>
    <w:rPr>
      <w:b/>
      <w:bCs/>
    </w:rPr>
  </w:style>
  <w:style w:type="character" w:styleId="45">
    <w:name w:val="page number"/>
    <w:basedOn w:val="43"/>
    <w:autoRedefine/>
    <w:qFormat/>
    <w:uiPriority w:val="0"/>
  </w:style>
  <w:style w:type="character" w:styleId="46">
    <w:name w:val="FollowedHyperlink"/>
    <w:autoRedefine/>
    <w:qFormat/>
    <w:uiPriority w:val="99"/>
    <w:rPr>
      <w:color w:val="800080"/>
      <w:u w:val="single"/>
    </w:rPr>
  </w:style>
  <w:style w:type="character" w:styleId="47">
    <w:name w:val="Emphasis"/>
    <w:autoRedefine/>
    <w:qFormat/>
    <w:uiPriority w:val="0"/>
    <w:rPr>
      <w:color w:val="CC0000"/>
    </w:rPr>
  </w:style>
  <w:style w:type="character" w:styleId="48">
    <w:name w:val="Hyperlink"/>
    <w:autoRedefine/>
    <w:qFormat/>
    <w:uiPriority w:val="99"/>
    <w:rPr>
      <w:color w:val="0000FF"/>
      <w:u w:val="single"/>
    </w:rPr>
  </w:style>
  <w:style w:type="character" w:styleId="49">
    <w:name w:val="annotation reference"/>
    <w:autoRedefine/>
    <w:qFormat/>
    <w:uiPriority w:val="0"/>
    <w:rPr>
      <w:sz w:val="21"/>
      <w:szCs w:val="21"/>
    </w:rPr>
  </w:style>
  <w:style w:type="character" w:customStyle="1" w:styleId="50">
    <w:name w:val="日期 Char"/>
    <w:link w:val="24"/>
    <w:autoRedefine/>
    <w:qFormat/>
    <w:uiPriority w:val="0"/>
    <w:rPr>
      <w:rFonts w:ascii="Times New Roman" w:hAnsi="Times New Roman"/>
      <w:kern w:val="2"/>
      <w:sz w:val="21"/>
      <w:szCs w:val="24"/>
    </w:rPr>
  </w:style>
  <w:style w:type="character" w:customStyle="1" w:styleId="51">
    <w:name w:val="批注主题 Char"/>
    <w:link w:val="38"/>
    <w:autoRedefine/>
    <w:semiHidden/>
    <w:qFormat/>
    <w:uiPriority w:val="0"/>
    <w:rPr>
      <w:rFonts w:ascii="Times New Roman" w:hAnsi="Times New Roman"/>
      <w:b/>
      <w:bCs/>
      <w:kern w:val="2"/>
      <w:sz w:val="21"/>
      <w:szCs w:val="24"/>
    </w:rPr>
  </w:style>
  <w:style w:type="character" w:customStyle="1" w:styleId="52">
    <w:name w:val="标题 7 Char"/>
    <w:link w:val="10"/>
    <w:autoRedefine/>
    <w:qFormat/>
    <w:uiPriority w:val="0"/>
    <w:rPr>
      <w:rFonts w:ascii="Times New Roman" w:hAnsi="Times New Roman"/>
      <w:b/>
      <w:kern w:val="2"/>
      <w:sz w:val="24"/>
      <w:szCs w:val="24"/>
    </w:rPr>
  </w:style>
  <w:style w:type="character" w:customStyle="1" w:styleId="53">
    <w:name w:val="apple-converted-space"/>
    <w:basedOn w:val="43"/>
    <w:autoRedefine/>
    <w:qFormat/>
    <w:uiPriority w:val="0"/>
  </w:style>
  <w:style w:type="character" w:customStyle="1" w:styleId="54">
    <w:name w:val="纯文本 Char1"/>
    <w:autoRedefine/>
    <w:qFormat/>
    <w:uiPriority w:val="0"/>
    <w:rPr>
      <w:rFonts w:ascii="宋体" w:hAnsi="Courier New" w:eastAsia="宋体" w:cs="Times New Roman"/>
      <w:szCs w:val="20"/>
    </w:rPr>
  </w:style>
  <w:style w:type="character" w:customStyle="1" w:styleId="55">
    <w:name w:val="正文文本缩进 Char"/>
    <w:link w:val="20"/>
    <w:autoRedefine/>
    <w:qFormat/>
    <w:uiPriority w:val="0"/>
    <w:rPr>
      <w:rFonts w:ascii="仿宋_GB2312" w:hAnsi="Times New Roman" w:eastAsia="仿宋_GB2312" w:cs="Times New Roman"/>
      <w:sz w:val="32"/>
      <w:szCs w:val="20"/>
    </w:rPr>
  </w:style>
  <w:style w:type="character" w:customStyle="1" w:styleId="56">
    <w:name w:val="宏文本 Char"/>
    <w:link w:val="3"/>
    <w:autoRedefine/>
    <w:semiHidden/>
    <w:qFormat/>
    <w:uiPriority w:val="0"/>
    <w:rPr>
      <w:rFonts w:ascii="Courier New" w:hAnsi="Courier New"/>
      <w:lang w:val="en-US" w:eastAsia="zh-CN" w:bidi="ar-SA"/>
    </w:rPr>
  </w:style>
  <w:style w:type="character" w:customStyle="1" w:styleId="57">
    <w:name w:val="Char Char15"/>
    <w:autoRedefine/>
    <w:qFormat/>
    <w:locked/>
    <w:uiPriority w:val="0"/>
    <w:rPr>
      <w:rFonts w:eastAsia="宋体"/>
      <w:b/>
      <w:kern w:val="2"/>
      <w:sz w:val="24"/>
      <w:szCs w:val="24"/>
      <w:lang w:bidi="ar-SA"/>
    </w:rPr>
  </w:style>
  <w:style w:type="character" w:customStyle="1" w:styleId="58">
    <w:name w:val="正文文本 2 Char1"/>
    <w:autoRedefine/>
    <w:semiHidden/>
    <w:qFormat/>
    <w:uiPriority w:val="99"/>
    <w:rPr>
      <w:rFonts w:ascii="Times New Roman" w:hAnsi="Times New Roman"/>
      <w:kern w:val="2"/>
      <w:sz w:val="21"/>
      <w:szCs w:val="24"/>
    </w:rPr>
  </w:style>
  <w:style w:type="character" w:customStyle="1" w:styleId="59">
    <w:name w:val="标题 3 Char"/>
    <w:link w:val="6"/>
    <w:autoRedefine/>
    <w:qFormat/>
    <w:uiPriority w:val="0"/>
    <w:rPr>
      <w:rFonts w:ascii="Times New Roman" w:hAnsi="Times New Roman"/>
      <w:b/>
      <w:bCs/>
      <w:sz w:val="32"/>
      <w:szCs w:val="32"/>
    </w:rPr>
  </w:style>
  <w:style w:type="character" w:customStyle="1" w:styleId="60">
    <w:name w:val="font41"/>
    <w:autoRedefine/>
    <w:qFormat/>
    <w:uiPriority w:val="0"/>
    <w:rPr>
      <w:rFonts w:hint="eastAsia" w:ascii="宋体" w:hAnsi="宋体" w:eastAsia="宋体" w:cs="宋体"/>
      <w:color w:val="000000"/>
      <w:sz w:val="22"/>
      <w:szCs w:val="22"/>
      <w:u w:val="none"/>
    </w:rPr>
  </w:style>
  <w:style w:type="character" w:customStyle="1" w:styleId="61">
    <w:name w:val="正文文本 3 Char2"/>
    <w:autoRedefine/>
    <w:semiHidden/>
    <w:qFormat/>
    <w:uiPriority w:val="99"/>
    <w:rPr>
      <w:rFonts w:ascii="Times New Roman" w:hAnsi="Times New Roman"/>
      <w:kern w:val="2"/>
      <w:sz w:val="16"/>
      <w:szCs w:val="16"/>
    </w:rPr>
  </w:style>
  <w:style w:type="character" w:customStyle="1" w:styleId="62">
    <w:name w:val="标题 6 Char"/>
    <w:link w:val="9"/>
    <w:autoRedefine/>
    <w:qFormat/>
    <w:uiPriority w:val="0"/>
    <w:rPr>
      <w:rFonts w:ascii="Calibri Light" w:hAnsi="Calibri Light" w:eastAsia="宋体" w:cs="Times New Roman"/>
      <w:b/>
      <w:bCs/>
      <w:kern w:val="2"/>
      <w:sz w:val="24"/>
      <w:szCs w:val="24"/>
    </w:rPr>
  </w:style>
  <w:style w:type="character" w:customStyle="1" w:styleId="63">
    <w:name w:val="正文文本 2 Char2"/>
    <w:autoRedefine/>
    <w:semiHidden/>
    <w:qFormat/>
    <w:uiPriority w:val="99"/>
    <w:rPr>
      <w:rFonts w:ascii="Times New Roman" w:hAnsi="Times New Roman"/>
      <w:kern w:val="2"/>
      <w:sz w:val="21"/>
      <w:szCs w:val="24"/>
    </w:rPr>
  </w:style>
  <w:style w:type="character" w:customStyle="1" w:styleId="64">
    <w:name w:val="Char Char"/>
    <w:autoRedefine/>
    <w:qFormat/>
    <w:locked/>
    <w:uiPriority w:val="0"/>
    <w:rPr>
      <w:rFonts w:ascii="宋体" w:hAnsi="宋体" w:eastAsia="宋体"/>
      <w:kern w:val="2"/>
      <w:sz w:val="21"/>
      <w:szCs w:val="24"/>
      <w:lang w:bidi="ar-SA"/>
    </w:rPr>
  </w:style>
  <w:style w:type="character" w:customStyle="1" w:styleId="65">
    <w:name w:val="Char Char1"/>
    <w:autoRedefine/>
    <w:qFormat/>
    <w:locked/>
    <w:uiPriority w:val="0"/>
    <w:rPr>
      <w:rFonts w:ascii="宋体" w:hAnsi="宋体" w:eastAsia="宋体"/>
      <w:szCs w:val="24"/>
      <w:lang w:bidi="ar-SA"/>
    </w:rPr>
  </w:style>
  <w:style w:type="character" w:customStyle="1" w:styleId="66">
    <w:name w:val="日期 Char2"/>
    <w:autoRedefine/>
    <w:semiHidden/>
    <w:qFormat/>
    <w:uiPriority w:val="99"/>
    <w:rPr>
      <w:rFonts w:ascii="Times New Roman" w:hAnsi="Times New Roman"/>
      <w:kern w:val="2"/>
      <w:sz w:val="21"/>
      <w:szCs w:val="24"/>
    </w:rPr>
  </w:style>
  <w:style w:type="character" w:customStyle="1" w:styleId="67">
    <w:name w:val="正文文本缩进 Char2"/>
    <w:autoRedefine/>
    <w:semiHidden/>
    <w:qFormat/>
    <w:uiPriority w:val="99"/>
    <w:rPr>
      <w:rFonts w:ascii="Times New Roman" w:hAnsi="Times New Roman"/>
      <w:kern w:val="2"/>
      <w:sz w:val="21"/>
      <w:szCs w:val="24"/>
    </w:rPr>
  </w:style>
  <w:style w:type="character" w:customStyle="1" w:styleId="68">
    <w:name w:val="页眉 Char2"/>
    <w:autoRedefine/>
    <w:semiHidden/>
    <w:qFormat/>
    <w:uiPriority w:val="99"/>
    <w:rPr>
      <w:rFonts w:ascii="Times New Roman" w:hAnsi="Times New Roman"/>
      <w:kern w:val="2"/>
      <w:sz w:val="18"/>
      <w:szCs w:val="18"/>
    </w:rPr>
  </w:style>
  <w:style w:type="character" w:customStyle="1" w:styleId="69">
    <w:name w:val="Char Char18"/>
    <w:autoRedefine/>
    <w:qFormat/>
    <w:locked/>
    <w:uiPriority w:val="0"/>
    <w:rPr>
      <w:rFonts w:eastAsia="宋体"/>
      <w:b/>
      <w:bCs/>
      <w:sz w:val="32"/>
      <w:szCs w:val="32"/>
      <w:lang w:bidi="ar-SA"/>
    </w:rPr>
  </w:style>
  <w:style w:type="character" w:customStyle="1" w:styleId="70">
    <w:name w:val="Char Char9"/>
    <w:autoRedefine/>
    <w:qFormat/>
    <w:locked/>
    <w:uiPriority w:val="0"/>
    <w:rPr>
      <w:rFonts w:ascii="宋体" w:hAnsi="宋体" w:eastAsia="宋体"/>
      <w:sz w:val="32"/>
      <w:lang w:bidi="ar-SA"/>
    </w:rPr>
  </w:style>
  <w:style w:type="character" w:customStyle="1" w:styleId="71">
    <w:name w:val="批注文字 Char"/>
    <w:link w:val="17"/>
    <w:autoRedefine/>
    <w:qFormat/>
    <w:uiPriority w:val="0"/>
    <w:rPr>
      <w:rFonts w:ascii="Times New Roman" w:hAnsi="Times New Roman"/>
      <w:kern w:val="2"/>
      <w:sz w:val="21"/>
      <w:szCs w:val="24"/>
    </w:rPr>
  </w:style>
  <w:style w:type="character" w:customStyle="1" w:styleId="72">
    <w:name w:val="宏文本 Char2"/>
    <w:autoRedefine/>
    <w:semiHidden/>
    <w:qFormat/>
    <w:uiPriority w:val="99"/>
    <w:rPr>
      <w:rFonts w:ascii="Courier New" w:hAnsi="Courier New" w:cs="Courier New"/>
      <w:kern w:val="2"/>
      <w:sz w:val="24"/>
      <w:szCs w:val="24"/>
    </w:rPr>
  </w:style>
  <w:style w:type="character" w:customStyle="1" w:styleId="73">
    <w:name w:val="Char Char10"/>
    <w:autoRedefine/>
    <w:qFormat/>
    <w:locked/>
    <w:uiPriority w:val="0"/>
    <w:rPr>
      <w:rFonts w:ascii="宋体" w:hAnsi="宋体" w:eastAsia="宋体"/>
      <w:b/>
      <w:bCs/>
      <w:sz w:val="24"/>
      <w:szCs w:val="24"/>
      <w:lang w:bidi="ar-SA"/>
    </w:rPr>
  </w:style>
  <w:style w:type="character" w:customStyle="1" w:styleId="74">
    <w:name w:val="font51"/>
    <w:autoRedefine/>
    <w:qFormat/>
    <w:uiPriority w:val="0"/>
    <w:rPr>
      <w:rFonts w:hint="eastAsia" w:ascii="宋体" w:hAnsi="宋体" w:eastAsia="宋体" w:cs="宋体"/>
      <w:color w:val="000000"/>
      <w:sz w:val="20"/>
      <w:szCs w:val="20"/>
      <w:u w:val="none"/>
    </w:rPr>
  </w:style>
  <w:style w:type="character" w:customStyle="1" w:styleId="75">
    <w:name w:val="正文文本缩进 2 Char"/>
    <w:link w:val="2"/>
    <w:autoRedefine/>
    <w:qFormat/>
    <w:uiPriority w:val="0"/>
    <w:rPr>
      <w:rFonts w:ascii="Times New Roman" w:hAnsi="Times New Roman"/>
      <w:kern w:val="2"/>
      <w:sz w:val="21"/>
      <w:szCs w:val="24"/>
    </w:rPr>
  </w:style>
  <w:style w:type="character" w:customStyle="1" w:styleId="76">
    <w:name w:val="mark"/>
    <w:basedOn w:val="43"/>
    <w:autoRedefine/>
    <w:qFormat/>
    <w:uiPriority w:val="0"/>
  </w:style>
  <w:style w:type="character" w:customStyle="1" w:styleId="77">
    <w:name w:val="正文文本 Char2"/>
    <w:autoRedefine/>
    <w:semiHidden/>
    <w:qFormat/>
    <w:uiPriority w:val="99"/>
    <w:rPr>
      <w:rFonts w:ascii="Times New Roman" w:hAnsi="Times New Roman"/>
      <w:kern w:val="2"/>
      <w:sz w:val="21"/>
      <w:szCs w:val="24"/>
    </w:rPr>
  </w:style>
  <w:style w:type="character" w:customStyle="1" w:styleId="78">
    <w:name w:val="Char Char17"/>
    <w:autoRedefine/>
    <w:qFormat/>
    <w:locked/>
    <w:uiPriority w:val="0"/>
    <w:rPr>
      <w:rFonts w:eastAsia="宋体"/>
      <w:b/>
      <w:kern w:val="2"/>
      <w:sz w:val="28"/>
      <w:szCs w:val="24"/>
      <w:lang w:bidi="ar-SA"/>
    </w:rPr>
  </w:style>
  <w:style w:type="character" w:customStyle="1" w:styleId="79">
    <w:name w:val="列出段落 Char"/>
    <w:link w:val="80"/>
    <w:autoRedefine/>
    <w:qFormat/>
    <w:locked/>
    <w:uiPriority w:val="0"/>
    <w:rPr>
      <w:kern w:val="2"/>
      <w:sz w:val="21"/>
      <w:szCs w:val="22"/>
    </w:rPr>
  </w:style>
  <w:style w:type="paragraph" w:styleId="80">
    <w:name w:val="List Paragraph"/>
    <w:basedOn w:val="1"/>
    <w:link w:val="79"/>
    <w:autoRedefine/>
    <w:qFormat/>
    <w:uiPriority w:val="0"/>
    <w:pPr>
      <w:ind w:firstLine="420" w:firstLineChars="200"/>
    </w:pPr>
    <w:rPr>
      <w:rFonts w:ascii="Calibri" w:hAnsi="Calibri"/>
      <w:szCs w:val="22"/>
    </w:rPr>
  </w:style>
  <w:style w:type="character" w:customStyle="1" w:styleId="81">
    <w:name w:val="正文文本缩进 2 Char1"/>
    <w:autoRedefine/>
    <w:semiHidden/>
    <w:qFormat/>
    <w:locked/>
    <w:uiPriority w:val="99"/>
    <w:rPr>
      <w:rFonts w:ascii="Times New Roman" w:hAnsi="Times New Roman"/>
      <w:sz w:val="32"/>
    </w:rPr>
  </w:style>
  <w:style w:type="character" w:customStyle="1" w:styleId="82">
    <w:name w:val="Char Char19"/>
    <w:autoRedefine/>
    <w:qFormat/>
    <w:locked/>
    <w:uiPriority w:val="0"/>
    <w:rPr>
      <w:rFonts w:ascii="Arial" w:hAnsi="Arial" w:eastAsia="黑体"/>
      <w:b/>
      <w:bCs/>
      <w:sz w:val="32"/>
      <w:szCs w:val="32"/>
      <w:lang w:bidi="ar-SA"/>
    </w:rPr>
  </w:style>
  <w:style w:type="character" w:customStyle="1" w:styleId="83">
    <w:name w:val="正文文本 Char"/>
    <w:link w:val="19"/>
    <w:autoRedefine/>
    <w:qFormat/>
    <w:uiPriority w:val="0"/>
    <w:rPr>
      <w:rFonts w:ascii="Times New Roman" w:hAnsi="Times New Roman"/>
      <w:kern w:val="2"/>
      <w:sz w:val="21"/>
      <w:szCs w:val="24"/>
    </w:rPr>
  </w:style>
  <w:style w:type="character" w:customStyle="1" w:styleId="84">
    <w:name w:val="ca-41"/>
    <w:autoRedefine/>
    <w:qFormat/>
    <w:uiPriority w:val="0"/>
    <w:rPr>
      <w:rFonts w:hint="eastAsia" w:ascii="宋体" w:hAnsi="宋体" w:eastAsia="宋体"/>
      <w:color w:val="FF0000"/>
      <w:sz w:val="21"/>
      <w:szCs w:val="21"/>
    </w:rPr>
  </w:style>
  <w:style w:type="character" w:customStyle="1" w:styleId="85">
    <w:name w:val="Char Char4"/>
    <w:autoRedefine/>
    <w:qFormat/>
    <w:locked/>
    <w:uiPriority w:val="0"/>
    <w:rPr>
      <w:rFonts w:ascii="宋体" w:hAnsi="Courier New" w:eastAsia="宋体"/>
      <w:szCs w:val="21"/>
      <w:lang w:bidi="ar-SA"/>
    </w:rPr>
  </w:style>
  <w:style w:type="character" w:customStyle="1" w:styleId="86">
    <w:name w:val="Char Char14"/>
    <w:autoRedefine/>
    <w:qFormat/>
    <w:locked/>
    <w:uiPriority w:val="0"/>
    <w:rPr>
      <w:rFonts w:ascii="Arial" w:hAnsi="Arial" w:eastAsia="黑体"/>
      <w:kern w:val="2"/>
      <w:sz w:val="24"/>
      <w:szCs w:val="24"/>
      <w:lang w:bidi="ar-SA"/>
    </w:rPr>
  </w:style>
  <w:style w:type="character" w:customStyle="1" w:styleId="87">
    <w:name w:val="日期 Char1"/>
    <w:autoRedefine/>
    <w:semiHidden/>
    <w:qFormat/>
    <w:uiPriority w:val="99"/>
    <w:rPr>
      <w:rFonts w:ascii="Times New Roman" w:hAnsi="Times New Roman" w:eastAsia="宋体" w:cs="Times New Roman"/>
      <w:szCs w:val="24"/>
    </w:rPr>
  </w:style>
  <w:style w:type="character" w:customStyle="1" w:styleId="88">
    <w:name w:val="case31"/>
    <w:autoRedefine/>
    <w:qFormat/>
    <w:uiPriority w:val="0"/>
    <w:rPr>
      <w:rFonts w:hint="default"/>
      <w:sz w:val="21"/>
      <w:szCs w:val="21"/>
    </w:rPr>
  </w:style>
  <w:style w:type="character" w:customStyle="1" w:styleId="89">
    <w:name w:val="Heading 1 Char"/>
    <w:autoRedefine/>
    <w:qFormat/>
    <w:locked/>
    <w:uiPriority w:val="0"/>
    <w:rPr>
      <w:rFonts w:ascii="Calibri" w:hAnsi="Calibri" w:eastAsia="宋体"/>
      <w:b/>
      <w:kern w:val="44"/>
      <w:sz w:val="44"/>
      <w:lang w:val="en-US" w:eastAsia="zh-CN" w:bidi="ar-SA"/>
    </w:rPr>
  </w:style>
  <w:style w:type="character" w:customStyle="1" w:styleId="90">
    <w:name w:val="Char Char20"/>
    <w:autoRedefine/>
    <w:qFormat/>
    <w:locked/>
    <w:uiPriority w:val="0"/>
    <w:rPr>
      <w:rFonts w:eastAsia="宋体"/>
      <w:b/>
      <w:bCs/>
      <w:kern w:val="44"/>
      <w:sz w:val="44"/>
      <w:szCs w:val="44"/>
      <w:lang w:bidi="ar-SA"/>
    </w:rPr>
  </w:style>
  <w:style w:type="character" w:customStyle="1" w:styleId="91">
    <w:name w:val="Char Char11"/>
    <w:autoRedefine/>
    <w:qFormat/>
    <w:locked/>
    <w:uiPriority w:val="0"/>
    <w:rPr>
      <w:rFonts w:ascii="仿宋_GB2312" w:eastAsia="仿宋_GB2312"/>
      <w:sz w:val="32"/>
      <w:lang w:bidi="ar-SA"/>
    </w:rPr>
  </w:style>
  <w:style w:type="character" w:customStyle="1" w:styleId="92">
    <w:name w:val="标题 1 Char"/>
    <w:link w:val="4"/>
    <w:autoRedefine/>
    <w:qFormat/>
    <w:uiPriority w:val="0"/>
    <w:rPr>
      <w:rFonts w:ascii="Times New Roman" w:hAnsi="Times New Roman"/>
      <w:b/>
      <w:bCs/>
      <w:kern w:val="44"/>
      <w:sz w:val="44"/>
      <w:szCs w:val="44"/>
    </w:rPr>
  </w:style>
  <w:style w:type="character" w:customStyle="1" w:styleId="93">
    <w:name w:val="Char Char6"/>
    <w:autoRedefine/>
    <w:qFormat/>
    <w:locked/>
    <w:uiPriority w:val="0"/>
    <w:rPr>
      <w:rFonts w:ascii="宋体" w:hAnsi="宋体" w:eastAsia="宋体"/>
      <w:sz w:val="16"/>
      <w:szCs w:val="16"/>
      <w:lang w:bidi="ar-SA"/>
    </w:rPr>
  </w:style>
  <w:style w:type="character" w:customStyle="1" w:styleId="94">
    <w:name w:val="Char Char5"/>
    <w:qFormat/>
    <w:locked/>
    <w:uiPriority w:val="0"/>
    <w:rPr>
      <w:sz w:val="18"/>
      <w:szCs w:val="18"/>
      <w:lang w:bidi="ar-SA"/>
    </w:rPr>
  </w:style>
  <w:style w:type="character" w:customStyle="1" w:styleId="95">
    <w:name w:val="批注框文本 Char2"/>
    <w:autoRedefine/>
    <w:semiHidden/>
    <w:qFormat/>
    <w:uiPriority w:val="99"/>
    <w:rPr>
      <w:rFonts w:ascii="Times New Roman" w:hAnsi="Times New Roman"/>
      <w:kern w:val="2"/>
      <w:sz w:val="18"/>
      <w:szCs w:val="18"/>
    </w:rPr>
  </w:style>
  <w:style w:type="character" w:customStyle="1" w:styleId="96">
    <w:name w:val="Char Char8"/>
    <w:qFormat/>
    <w:locked/>
    <w:uiPriority w:val="0"/>
    <w:rPr>
      <w:sz w:val="18"/>
      <w:szCs w:val="18"/>
      <w:lang w:bidi="ar-SA"/>
    </w:rPr>
  </w:style>
  <w:style w:type="character" w:customStyle="1" w:styleId="97">
    <w:name w:val="正文文本缩进 3 Char"/>
    <w:link w:val="32"/>
    <w:qFormat/>
    <w:uiPriority w:val="0"/>
    <w:rPr>
      <w:rFonts w:ascii="Times New Roman" w:hAnsi="Times New Roman"/>
      <w:sz w:val="16"/>
      <w:szCs w:val="16"/>
    </w:rPr>
  </w:style>
  <w:style w:type="character" w:customStyle="1" w:styleId="98">
    <w:name w:val="正文文本缩进 Char1"/>
    <w:semiHidden/>
    <w:qFormat/>
    <w:uiPriority w:val="99"/>
    <w:rPr>
      <w:rFonts w:ascii="Times New Roman" w:hAnsi="Times New Roman" w:eastAsia="宋体" w:cs="Times New Roman"/>
      <w:szCs w:val="24"/>
    </w:rPr>
  </w:style>
  <w:style w:type="character" w:customStyle="1" w:styleId="99">
    <w:name w:val="批注框文本 Char1"/>
    <w:semiHidden/>
    <w:qFormat/>
    <w:uiPriority w:val="99"/>
    <w:rPr>
      <w:rFonts w:ascii="Times New Roman" w:hAnsi="Times New Roman" w:eastAsia="宋体" w:cs="Times New Roman"/>
      <w:sz w:val="18"/>
      <w:szCs w:val="18"/>
    </w:rPr>
  </w:style>
  <w:style w:type="character" w:customStyle="1" w:styleId="100">
    <w:name w:val="文档结构图 Char1"/>
    <w:semiHidden/>
    <w:qFormat/>
    <w:uiPriority w:val="99"/>
    <w:rPr>
      <w:rFonts w:ascii="宋体" w:hAnsi="Times New Roman"/>
      <w:kern w:val="2"/>
      <w:sz w:val="18"/>
      <w:szCs w:val="18"/>
    </w:rPr>
  </w:style>
  <w:style w:type="character" w:customStyle="1" w:styleId="101">
    <w:name w:val="标题 9 Char"/>
    <w:link w:val="13"/>
    <w:qFormat/>
    <w:uiPriority w:val="0"/>
    <w:rPr>
      <w:rFonts w:ascii="Arial" w:hAnsi="Arial" w:eastAsia="黑体"/>
      <w:kern w:val="2"/>
      <w:sz w:val="21"/>
      <w:szCs w:val="24"/>
    </w:rPr>
  </w:style>
  <w:style w:type="character" w:customStyle="1" w:styleId="102">
    <w:name w:val="页脚 Char2"/>
    <w:semiHidden/>
    <w:qFormat/>
    <w:uiPriority w:val="99"/>
    <w:rPr>
      <w:rFonts w:ascii="Times New Roman" w:hAnsi="Times New Roman"/>
      <w:kern w:val="2"/>
      <w:sz w:val="18"/>
      <w:szCs w:val="18"/>
    </w:rPr>
  </w:style>
  <w:style w:type="character" w:customStyle="1" w:styleId="103">
    <w:name w:val="正文缩进 Char"/>
    <w:link w:val="11"/>
    <w:qFormat/>
    <w:uiPriority w:val="0"/>
    <w:rPr>
      <w:rFonts w:ascii="Times New Roman" w:hAnsi="Times New Roman"/>
      <w:kern w:val="2"/>
      <w:sz w:val="21"/>
    </w:rPr>
  </w:style>
  <w:style w:type="character" w:customStyle="1" w:styleId="104">
    <w:name w:val="HTML 预设格式 Char2"/>
    <w:autoRedefine/>
    <w:semiHidden/>
    <w:qFormat/>
    <w:uiPriority w:val="99"/>
    <w:rPr>
      <w:rFonts w:ascii="Courier New" w:hAnsi="Courier New" w:cs="Courier New"/>
      <w:kern w:val="2"/>
    </w:rPr>
  </w:style>
  <w:style w:type="character" w:customStyle="1" w:styleId="105">
    <w:name w:val="纯文本 Char2"/>
    <w:semiHidden/>
    <w:qFormat/>
    <w:uiPriority w:val="99"/>
    <w:rPr>
      <w:rFonts w:ascii="宋体" w:hAnsi="Courier New" w:cs="Courier New"/>
      <w:kern w:val="2"/>
      <w:sz w:val="21"/>
      <w:szCs w:val="21"/>
    </w:rPr>
  </w:style>
  <w:style w:type="character" w:customStyle="1" w:styleId="106">
    <w:name w:val="正文文本 3 Char1"/>
    <w:semiHidden/>
    <w:qFormat/>
    <w:uiPriority w:val="99"/>
    <w:rPr>
      <w:rFonts w:ascii="Times New Roman" w:hAnsi="Times New Roman"/>
      <w:kern w:val="2"/>
      <w:sz w:val="16"/>
      <w:szCs w:val="16"/>
    </w:rPr>
  </w:style>
  <w:style w:type="character" w:customStyle="1" w:styleId="107">
    <w:name w:val="页眉 Char"/>
    <w:link w:val="28"/>
    <w:qFormat/>
    <w:uiPriority w:val="0"/>
    <w:rPr>
      <w:sz w:val="18"/>
      <w:szCs w:val="18"/>
    </w:rPr>
  </w:style>
  <w:style w:type="character" w:customStyle="1" w:styleId="108">
    <w:name w:val="批注文字 Char1"/>
    <w:autoRedefine/>
    <w:semiHidden/>
    <w:qFormat/>
    <w:uiPriority w:val="99"/>
    <w:rPr>
      <w:rFonts w:ascii="Times New Roman" w:hAnsi="Times New Roman"/>
      <w:kern w:val="2"/>
      <w:sz w:val="21"/>
      <w:szCs w:val="24"/>
    </w:rPr>
  </w:style>
  <w:style w:type="character" w:customStyle="1" w:styleId="109">
    <w:name w:val="标题 5 Char"/>
    <w:link w:val="8"/>
    <w:qFormat/>
    <w:uiPriority w:val="0"/>
    <w:rPr>
      <w:rFonts w:eastAsia="宋体"/>
      <w:b/>
      <w:bCs/>
      <w:kern w:val="2"/>
      <w:sz w:val="28"/>
      <w:szCs w:val="28"/>
      <w:lang w:val="en-US" w:eastAsia="zh-CN" w:bidi="ar-SA"/>
    </w:rPr>
  </w:style>
  <w:style w:type="character" w:customStyle="1" w:styleId="110">
    <w:name w:val="表格标题2 Char"/>
    <w:link w:val="111"/>
    <w:autoRedefine/>
    <w:qFormat/>
    <w:uiPriority w:val="0"/>
    <w:rPr>
      <w:rFonts w:ascii="Arial" w:hAnsi="Arial" w:eastAsia="微软雅黑"/>
      <w:b/>
      <w:bCs/>
      <w:kern w:val="2"/>
      <w:sz w:val="21"/>
      <w:szCs w:val="24"/>
    </w:rPr>
  </w:style>
  <w:style w:type="paragraph" w:customStyle="1" w:styleId="111">
    <w:name w:val="表格标题2"/>
    <w:basedOn w:val="9"/>
    <w:link w:val="110"/>
    <w:autoRedefine/>
    <w:qFormat/>
    <w:uiPriority w:val="0"/>
    <w:pPr>
      <w:spacing w:before="0" w:after="0" w:line="240" w:lineRule="auto"/>
      <w:jc w:val="center"/>
    </w:pPr>
    <w:rPr>
      <w:rFonts w:ascii="Arial" w:hAnsi="Arial" w:eastAsia="微软雅黑"/>
      <w:sz w:val="21"/>
    </w:rPr>
  </w:style>
  <w:style w:type="character" w:customStyle="1" w:styleId="112">
    <w:name w:val="普通文字 Char Char2"/>
    <w:qFormat/>
    <w:uiPriority w:val="0"/>
    <w:rPr>
      <w:rFonts w:ascii="宋体" w:hAnsi="Courier New" w:eastAsia="宋体"/>
      <w:szCs w:val="21"/>
      <w:lang w:bidi="ar-SA"/>
    </w:rPr>
  </w:style>
  <w:style w:type="character" w:customStyle="1" w:styleId="113">
    <w:name w:val="批注框文本 Char"/>
    <w:link w:val="25"/>
    <w:semiHidden/>
    <w:qFormat/>
    <w:uiPriority w:val="0"/>
    <w:rPr>
      <w:rFonts w:ascii="Times New Roman" w:hAnsi="Times New Roman"/>
      <w:kern w:val="2"/>
      <w:sz w:val="18"/>
      <w:szCs w:val="18"/>
    </w:rPr>
  </w:style>
  <w:style w:type="character" w:customStyle="1" w:styleId="114">
    <w:name w:val="font21"/>
    <w:qFormat/>
    <w:uiPriority w:val="0"/>
    <w:rPr>
      <w:rFonts w:hint="eastAsia" w:ascii="宋体" w:hAnsi="宋体" w:eastAsia="宋体" w:cs="宋体"/>
      <w:color w:val="000000"/>
      <w:sz w:val="24"/>
      <w:szCs w:val="24"/>
      <w:u w:val="none"/>
    </w:rPr>
  </w:style>
  <w:style w:type="character" w:customStyle="1" w:styleId="115">
    <w:name w:val="HTML 预设格式 Char"/>
    <w:link w:val="35"/>
    <w:autoRedefine/>
    <w:qFormat/>
    <w:uiPriority w:val="99"/>
    <w:rPr>
      <w:rFonts w:ascii="宋体" w:hAnsi="宋体" w:cs="宋体"/>
      <w:sz w:val="24"/>
      <w:szCs w:val="24"/>
    </w:rPr>
  </w:style>
  <w:style w:type="character" w:customStyle="1" w:styleId="116">
    <w:name w:val="页脚 Char"/>
    <w:link w:val="26"/>
    <w:qFormat/>
    <w:uiPriority w:val="0"/>
    <w:rPr>
      <w:sz w:val="18"/>
      <w:szCs w:val="18"/>
    </w:rPr>
  </w:style>
  <w:style w:type="character" w:customStyle="1" w:styleId="117">
    <w:name w:val="明显引用 Char"/>
    <w:link w:val="118"/>
    <w:qFormat/>
    <w:uiPriority w:val="0"/>
    <w:rPr>
      <w:rFonts w:ascii="宋体" w:hAnsi="华文细黑"/>
      <w:bCs/>
      <w:iCs/>
      <w:color w:val="000000"/>
      <w:kern w:val="2"/>
      <w:sz w:val="21"/>
    </w:rPr>
  </w:style>
  <w:style w:type="paragraph" w:customStyle="1" w:styleId="118">
    <w:name w:val="明显引用1"/>
    <w:basedOn w:val="1"/>
    <w:next w:val="1"/>
    <w:link w:val="117"/>
    <w:autoRedefine/>
    <w:qFormat/>
    <w:uiPriority w:val="0"/>
    <w:pPr>
      <w:spacing w:line="360" w:lineRule="auto"/>
      <w:jc w:val="center"/>
    </w:pPr>
    <w:rPr>
      <w:rFonts w:ascii="宋体" w:hAnsi="华文细黑"/>
      <w:bCs/>
      <w:iCs/>
      <w:color w:val="000000"/>
      <w:szCs w:val="20"/>
    </w:rPr>
  </w:style>
  <w:style w:type="character" w:customStyle="1" w:styleId="119">
    <w:name w:val="apple-style-span"/>
    <w:basedOn w:val="43"/>
    <w:qFormat/>
    <w:uiPriority w:val="0"/>
  </w:style>
  <w:style w:type="character" w:customStyle="1" w:styleId="120">
    <w:name w:val="Char Char2"/>
    <w:autoRedefine/>
    <w:qFormat/>
    <w:locked/>
    <w:uiPriority w:val="0"/>
    <w:rPr>
      <w:rFonts w:ascii="宋体" w:hAnsi="宋体" w:eastAsia="宋体"/>
      <w:sz w:val="24"/>
      <w:szCs w:val="24"/>
      <w:lang w:bidi="ar-SA"/>
    </w:rPr>
  </w:style>
  <w:style w:type="character" w:customStyle="1" w:styleId="121">
    <w:name w:val="纯文本 Char"/>
    <w:link w:val="23"/>
    <w:qFormat/>
    <w:uiPriority w:val="0"/>
    <w:rPr>
      <w:rFonts w:ascii="宋体" w:hAnsi="Courier New" w:eastAsia="宋体" w:cs="Courier New"/>
      <w:szCs w:val="21"/>
    </w:rPr>
  </w:style>
  <w:style w:type="character" w:customStyle="1" w:styleId="122">
    <w:name w:val="font91"/>
    <w:qFormat/>
    <w:uiPriority w:val="0"/>
    <w:rPr>
      <w:rFonts w:hint="default" w:ascii="Times New Roman" w:hAnsi="Times New Roman" w:cs="Times New Roman"/>
      <w:color w:val="000000"/>
      <w:sz w:val="20"/>
      <w:szCs w:val="20"/>
      <w:u w:val="none"/>
    </w:rPr>
  </w:style>
  <w:style w:type="character" w:customStyle="1" w:styleId="123">
    <w:name w:val="Char Char16"/>
    <w:qFormat/>
    <w:locked/>
    <w:uiPriority w:val="0"/>
    <w:rPr>
      <w:rFonts w:ascii="Arial" w:hAnsi="Arial" w:eastAsia="黑体"/>
      <w:b/>
      <w:kern w:val="2"/>
      <w:sz w:val="24"/>
      <w:szCs w:val="24"/>
      <w:lang w:bidi="ar-SA"/>
    </w:rPr>
  </w:style>
  <w:style w:type="character" w:customStyle="1" w:styleId="124">
    <w:name w:val="正文文本缩进 2 Char2"/>
    <w:semiHidden/>
    <w:qFormat/>
    <w:uiPriority w:val="99"/>
    <w:rPr>
      <w:rFonts w:ascii="Times New Roman" w:hAnsi="Times New Roman"/>
      <w:kern w:val="2"/>
      <w:sz w:val="21"/>
      <w:szCs w:val="24"/>
    </w:rPr>
  </w:style>
  <w:style w:type="character" w:customStyle="1" w:styleId="125">
    <w:name w:val="A4"/>
    <w:qFormat/>
    <w:uiPriority w:val="0"/>
    <w:rPr>
      <w:rFonts w:ascii="新宋体" w:eastAsia="新宋体" w:cs="新宋体"/>
      <w:color w:val="000000"/>
      <w:lang w:bidi="ar-SA"/>
    </w:rPr>
  </w:style>
  <w:style w:type="character" w:customStyle="1" w:styleId="126">
    <w:name w:val="标题 2 Char"/>
    <w:link w:val="5"/>
    <w:qFormat/>
    <w:uiPriority w:val="0"/>
    <w:rPr>
      <w:rFonts w:ascii="Arial" w:hAnsi="Arial" w:eastAsia="黑体"/>
      <w:b/>
      <w:bCs/>
      <w:kern w:val="2"/>
      <w:sz w:val="32"/>
      <w:szCs w:val="32"/>
      <w:lang w:val="en-US" w:eastAsia="zh-CN" w:bidi="ar-SA"/>
    </w:rPr>
  </w:style>
  <w:style w:type="character" w:customStyle="1" w:styleId="127">
    <w:name w:val="正文文本 Char1"/>
    <w:semiHidden/>
    <w:qFormat/>
    <w:uiPriority w:val="99"/>
    <w:rPr>
      <w:rFonts w:ascii="Times New Roman" w:hAnsi="Times New Roman" w:eastAsia="宋体" w:cs="Times New Roman"/>
      <w:szCs w:val="24"/>
    </w:rPr>
  </w:style>
  <w:style w:type="character" w:customStyle="1" w:styleId="128">
    <w:name w:val="页脚 Char1"/>
    <w:semiHidden/>
    <w:qFormat/>
    <w:uiPriority w:val="99"/>
    <w:rPr>
      <w:rFonts w:ascii="Times New Roman" w:hAnsi="Times New Roman" w:eastAsia="宋体" w:cs="Times New Roman"/>
      <w:sz w:val="18"/>
      <w:szCs w:val="18"/>
    </w:rPr>
  </w:style>
  <w:style w:type="character" w:customStyle="1" w:styleId="129">
    <w:name w:val="正文文本 (2)_"/>
    <w:link w:val="130"/>
    <w:qFormat/>
    <w:uiPriority w:val="0"/>
    <w:rPr>
      <w:rFonts w:eastAsia="Times New Roman"/>
      <w:kern w:val="0"/>
      <w:sz w:val="20"/>
      <w:szCs w:val="20"/>
    </w:rPr>
  </w:style>
  <w:style w:type="paragraph" w:customStyle="1" w:styleId="130">
    <w:name w:val="正文文本 (2)"/>
    <w:basedOn w:val="1"/>
    <w:link w:val="129"/>
    <w:qFormat/>
    <w:uiPriority w:val="0"/>
    <w:pPr>
      <w:shd w:val="clear" w:color="auto" w:fill="FFFFFF"/>
      <w:spacing w:before="600" w:line="379" w:lineRule="exact"/>
      <w:jc w:val="distribute"/>
    </w:pPr>
    <w:rPr>
      <w:rFonts w:ascii="Calibri" w:hAnsi="Calibri" w:eastAsia="Times New Roman"/>
      <w:kern w:val="0"/>
      <w:sz w:val="20"/>
      <w:szCs w:val="20"/>
    </w:rPr>
  </w:style>
  <w:style w:type="character" w:customStyle="1" w:styleId="131">
    <w:name w:val="文档结构图 Char"/>
    <w:link w:val="16"/>
    <w:semiHidden/>
    <w:qFormat/>
    <w:uiPriority w:val="0"/>
    <w:rPr>
      <w:rFonts w:ascii="Times New Roman" w:hAnsi="Times New Roman"/>
      <w:kern w:val="2"/>
      <w:sz w:val="21"/>
      <w:szCs w:val="24"/>
      <w:shd w:val="clear" w:color="auto" w:fill="000080"/>
    </w:rPr>
  </w:style>
  <w:style w:type="character" w:customStyle="1" w:styleId="132">
    <w:name w:val="正文文本缩进 3 Char1"/>
    <w:semiHidden/>
    <w:qFormat/>
    <w:uiPriority w:val="99"/>
    <w:rPr>
      <w:rFonts w:ascii="Times New Roman" w:hAnsi="Times New Roman"/>
      <w:kern w:val="2"/>
      <w:sz w:val="16"/>
      <w:szCs w:val="16"/>
    </w:rPr>
  </w:style>
  <w:style w:type="character" w:customStyle="1" w:styleId="133">
    <w:name w:val="正文文本 3 Char"/>
    <w:link w:val="18"/>
    <w:qFormat/>
    <w:uiPriority w:val="0"/>
    <w:rPr>
      <w:rFonts w:ascii="Times New Roman" w:hAnsi="Times New Roman"/>
      <w:b/>
      <w:bCs/>
      <w:sz w:val="24"/>
      <w:szCs w:val="24"/>
    </w:rPr>
  </w:style>
  <w:style w:type="character" w:customStyle="1" w:styleId="134">
    <w:name w:val="批注主题 Char1"/>
    <w:autoRedefine/>
    <w:semiHidden/>
    <w:qFormat/>
    <w:uiPriority w:val="99"/>
    <w:rPr>
      <w:rFonts w:ascii="Times New Roman" w:hAnsi="Times New Roman"/>
      <w:b/>
      <w:bCs/>
      <w:kern w:val="2"/>
      <w:sz w:val="21"/>
      <w:szCs w:val="24"/>
    </w:rPr>
  </w:style>
  <w:style w:type="character" w:customStyle="1" w:styleId="135">
    <w:name w:val="页眉 Char1"/>
    <w:semiHidden/>
    <w:qFormat/>
    <w:uiPriority w:val="99"/>
    <w:rPr>
      <w:rFonts w:ascii="Times New Roman" w:hAnsi="Times New Roman" w:eastAsia="宋体" w:cs="Times New Roman"/>
      <w:sz w:val="18"/>
      <w:szCs w:val="18"/>
    </w:rPr>
  </w:style>
  <w:style w:type="character" w:customStyle="1" w:styleId="136">
    <w:name w:val="font11"/>
    <w:autoRedefine/>
    <w:qFormat/>
    <w:uiPriority w:val="0"/>
    <w:rPr>
      <w:rFonts w:hint="default" w:ascii="Times New Roman" w:hAnsi="Times New Roman" w:cs="Times New Roman"/>
      <w:color w:val="000000"/>
      <w:sz w:val="24"/>
      <w:szCs w:val="24"/>
      <w:u w:val="none"/>
    </w:rPr>
  </w:style>
  <w:style w:type="character" w:customStyle="1" w:styleId="137">
    <w:name w:val="Char Char3"/>
    <w:qFormat/>
    <w:locked/>
    <w:uiPriority w:val="0"/>
    <w:rPr>
      <w:rFonts w:ascii="宋体" w:hAnsi="宋体" w:eastAsia="宋体"/>
      <w:sz w:val="24"/>
      <w:szCs w:val="24"/>
      <w:lang w:bidi="ar-SA"/>
    </w:rPr>
  </w:style>
  <w:style w:type="character" w:customStyle="1" w:styleId="138">
    <w:name w:val="标题 8 Char"/>
    <w:link w:val="12"/>
    <w:qFormat/>
    <w:uiPriority w:val="0"/>
    <w:rPr>
      <w:rFonts w:ascii="Arial" w:hAnsi="Arial" w:eastAsia="黑体"/>
      <w:kern w:val="2"/>
      <w:sz w:val="24"/>
      <w:szCs w:val="24"/>
    </w:rPr>
  </w:style>
  <w:style w:type="character" w:customStyle="1" w:styleId="139">
    <w:name w:val="font31"/>
    <w:qFormat/>
    <w:uiPriority w:val="0"/>
    <w:rPr>
      <w:rFonts w:hint="default" w:ascii="Times New Roman" w:hAnsi="Times New Roman" w:cs="Times New Roman"/>
      <w:color w:val="000000"/>
      <w:sz w:val="24"/>
      <w:szCs w:val="24"/>
      <w:u w:val="none"/>
    </w:rPr>
  </w:style>
  <w:style w:type="character" w:customStyle="1" w:styleId="140">
    <w:name w:val="宏文本 Char1"/>
    <w:semiHidden/>
    <w:qFormat/>
    <w:uiPriority w:val="99"/>
    <w:rPr>
      <w:rFonts w:ascii="Courier New" w:hAnsi="Courier New" w:cs="Courier New"/>
      <w:kern w:val="2"/>
      <w:sz w:val="24"/>
      <w:szCs w:val="24"/>
    </w:rPr>
  </w:style>
  <w:style w:type="character" w:customStyle="1" w:styleId="141">
    <w:name w:val="普通文字 Char Char3"/>
    <w:qFormat/>
    <w:uiPriority w:val="0"/>
    <w:rPr>
      <w:rFonts w:ascii="宋体" w:hAnsi="Courier New" w:eastAsia="宋体" w:cs="Courier New"/>
      <w:szCs w:val="21"/>
    </w:rPr>
  </w:style>
  <w:style w:type="character" w:customStyle="1" w:styleId="142">
    <w:name w:val="Char Char13"/>
    <w:qFormat/>
    <w:locked/>
    <w:uiPriority w:val="0"/>
    <w:rPr>
      <w:rFonts w:ascii="Arial" w:hAnsi="Arial" w:eastAsia="黑体"/>
      <w:kern w:val="2"/>
      <w:sz w:val="21"/>
      <w:szCs w:val="24"/>
      <w:lang w:bidi="ar-SA"/>
    </w:rPr>
  </w:style>
  <w:style w:type="character" w:customStyle="1" w:styleId="143">
    <w:name w:val="font01"/>
    <w:qFormat/>
    <w:uiPriority w:val="0"/>
    <w:rPr>
      <w:rFonts w:hint="eastAsia" w:ascii="宋体" w:hAnsi="宋体" w:eastAsia="宋体" w:cs="宋体"/>
      <w:color w:val="000000"/>
      <w:sz w:val="24"/>
      <w:szCs w:val="24"/>
      <w:u w:val="none"/>
    </w:rPr>
  </w:style>
  <w:style w:type="character" w:customStyle="1" w:styleId="144">
    <w:name w:val="正文文本缩进 3 Char2"/>
    <w:semiHidden/>
    <w:qFormat/>
    <w:uiPriority w:val="99"/>
    <w:rPr>
      <w:rFonts w:ascii="Times New Roman" w:hAnsi="Times New Roman"/>
      <w:kern w:val="2"/>
      <w:sz w:val="16"/>
      <w:szCs w:val="16"/>
    </w:rPr>
  </w:style>
  <w:style w:type="character" w:customStyle="1" w:styleId="145">
    <w:name w:val="HTML 预设格式 Char1"/>
    <w:semiHidden/>
    <w:qFormat/>
    <w:uiPriority w:val="99"/>
    <w:rPr>
      <w:rFonts w:ascii="Courier New" w:hAnsi="Courier New" w:cs="Courier New"/>
      <w:kern w:val="2"/>
    </w:rPr>
  </w:style>
  <w:style w:type="character" w:customStyle="1" w:styleId="146">
    <w:name w:val="正文文本 2 Char"/>
    <w:link w:val="34"/>
    <w:qFormat/>
    <w:uiPriority w:val="0"/>
    <w:rPr>
      <w:rFonts w:ascii="Times New Roman" w:hAnsi="Times New Roman"/>
      <w:szCs w:val="24"/>
    </w:rPr>
  </w:style>
  <w:style w:type="paragraph" w:customStyle="1" w:styleId="147">
    <w:name w:val="List Paragraph1"/>
    <w:basedOn w:val="1"/>
    <w:qFormat/>
    <w:uiPriority w:val="0"/>
    <w:pPr>
      <w:ind w:firstLine="420" w:firstLineChars="200"/>
    </w:pPr>
  </w:style>
  <w:style w:type="paragraph" w:customStyle="1" w:styleId="148">
    <w:name w:val="Char"/>
    <w:basedOn w:val="1"/>
    <w:qFormat/>
    <w:uiPriority w:val="0"/>
  </w:style>
  <w:style w:type="paragraph" w:customStyle="1" w:styleId="149">
    <w:name w:val="xl65"/>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15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51">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52">
    <w:name w:val="Char1"/>
    <w:basedOn w:val="1"/>
    <w:qFormat/>
    <w:uiPriority w:val="0"/>
    <w:rPr>
      <w:szCs w:val="21"/>
    </w:rPr>
  </w:style>
  <w:style w:type="paragraph" w:customStyle="1" w:styleId="153">
    <w:name w:val="列出段落1"/>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54">
    <w:name w:val="列出段落11"/>
    <w:basedOn w:val="1"/>
    <w:qFormat/>
    <w:uiPriority w:val="0"/>
    <w:pPr>
      <w:ind w:firstLine="420" w:firstLineChars="200"/>
    </w:pPr>
  </w:style>
  <w:style w:type="paragraph" w:customStyle="1" w:styleId="155">
    <w:name w:val="Char Char Char Char"/>
    <w:basedOn w:val="1"/>
    <w:qFormat/>
    <w:uiPriority w:val="0"/>
  </w:style>
  <w:style w:type="paragraph" w:customStyle="1" w:styleId="156">
    <w:name w:val="三级条标题"/>
    <w:basedOn w:val="157"/>
    <w:next w:val="158"/>
    <w:qFormat/>
    <w:uiPriority w:val="0"/>
    <w:pPr>
      <w:outlineLvl w:val="4"/>
    </w:pPr>
  </w:style>
  <w:style w:type="paragraph" w:customStyle="1" w:styleId="157">
    <w:name w:val="二级条标题"/>
    <w:basedOn w:val="1"/>
    <w:next w:val="1"/>
    <w:qFormat/>
    <w:uiPriority w:val="0"/>
    <w:pPr>
      <w:widowControl/>
      <w:jc w:val="left"/>
      <w:outlineLvl w:val="3"/>
    </w:pPr>
    <w:rPr>
      <w:rFonts w:ascii="宋体" w:hAnsi="宋体"/>
      <w:color w:val="000000"/>
      <w:kern w:val="0"/>
      <w:szCs w:val="20"/>
    </w:rPr>
  </w:style>
  <w:style w:type="paragraph" w:customStyle="1" w:styleId="15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60">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161">
    <w:name w:val="Char Char Char"/>
    <w:basedOn w:val="1"/>
    <w:qFormat/>
    <w:uiPriority w:val="0"/>
    <w:rPr>
      <w:rFonts w:ascii="Tahoma" w:hAnsi="Tahoma"/>
      <w:sz w:val="24"/>
      <w:szCs w:val="20"/>
    </w:rPr>
  </w:style>
  <w:style w:type="paragraph" w:customStyle="1" w:styleId="162">
    <w:name w:val="表格"/>
    <w:basedOn w:val="1"/>
    <w:qFormat/>
    <w:uiPriority w:val="0"/>
    <w:pPr>
      <w:spacing w:line="400" w:lineRule="exact"/>
    </w:pPr>
    <w:rPr>
      <w:sz w:val="24"/>
    </w:rPr>
  </w:style>
  <w:style w:type="paragraph" w:customStyle="1" w:styleId="163">
    <w:name w:val="纯文本1"/>
    <w:basedOn w:val="1"/>
    <w:qFormat/>
    <w:uiPriority w:val="0"/>
    <w:rPr>
      <w:rFonts w:ascii="宋体" w:hAnsi="Courier New" w:cs="Courier New"/>
      <w:kern w:val="0"/>
      <w:sz w:val="20"/>
      <w:szCs w:val="21"/>
    </w:rPr>
  </w:style>
  <w:style w:type="paragraph" w:customStyle="1" w:styleId="164">
    <w:name w:val="五级条标题"/>
    <w:basedOn w:val="165"/>
    <w:next w:val="158"/>
    <w:qFormat/>
    <w:uiPriority w:val="0"/>
    <w:pPr>
      <w:outlineLvl w:val="6"/>
    </w:pPr>
  </w:style>
  <w:style w:type="paragraph" w:customStyle="1" w:styleId="165">
    <w:name w:val="四级条标题"/>
    <w:basedOn w:val="156"/>
    <w:next w:val="158"/>
    <w:qFormat/>
    <w:uiPriority w:val="0"/>
    <w:pPr>
      <w:outlineLvl w:val="5"/>
    </w:pPr>
  </w:style>
  <w:style w:type="paragraph" w:customStyle="1" w:styleId="166">
    <w:name w:val="Char11"/>
    <w:basedOn w:val="1"/>
    <w:qFormat/>
    <w:uiPriority w:val="0"/>
    <w:rPr>
      <w:szCs w:val="21"/>
    </w:rPr>
  </w:style>
  <w:style w:type="paragraph" w:customStyle="1" w:styleId="167">
    <w:name w:val="默认段落字体 Para Char Char Char Char Char Char Char Char Char1 Char Char Char Char"/>
    <w:basedOn w:val="1"/>
    <w:qFormat/>
    <w:uiPriority w:val="0"/>
    <w:rPr>
      <w:rFonts w:ascii="Tahoma" w:hAnsi="Tahoma"/>
      <w:sz w:val="24"/>
      <w:szCs w:val="20"/>
    </w:rPr>
  </w:style>
  <w:style w:type="paragraph" w:customStyle="1" w:styleId="168">
    <w:name w:val="列出段落2"/>
    <w:basedOn w:val="1"/>
    <w:qFormat/>
    <w:uiPriority w:val="0"/>
    <w:pPr>
      <w:ind w:firstLine="420" w:firstLineChars="200"/>
    </w:pPr>
    <w:rPr>
      <w:rFonts w:ascii="Calibri" w:hAnsi="Calibri"/>
      <w:szCs w:val="22"/>
    </w:rPr>
  </w:style>
  <w:style w:type="paragraph" w:customStyle="1" w:styleId="169">
    <w:name w:val="样式 首行缩进:  2 字符"/>
    <w:basedOn w:val="1"/>
    <w:qFormat/>
    <w:uiPriority w:val="0"/>
    <w:pPr>
      <w:spacing w:line="400" w:lineRule="exact"/>
      <w:ind w:firstLine="200" w:firstLineChars="200"/>
    </w:pPr>
    <w:rPr>
      <w:rFonts w:cs="宋体"/>
      <w:sz w:val="24"/>
    </w:rPr>
  </w:style>
  <w:style w:type="paragraph" w:customStyle="1" w:styleId="170">
    <w:name w:val="1"/>
    <w:basedOn w:val="1"/>
    <w:next w:val="23"/>
    <w:qFormat/>
    <w:uiPriority w:val="0"/>
    <w:rPr>
      <w:rFonts w:ascii="宋体" w:hAnsi="Courier New"/>
      <w:szCs w:val="20"/>
    </w:rPr>
  </w:style>
  <w:style w:type="paragraph" w:customStyle="1" w:styleId="171">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7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73">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kern w:val="0"/>
      <w:sz w:val="28"/>
      <w:szCs w:val="20"/>
    </w:rPr>
  </w:style>
  <w:style w:type="paragraph" w:customStyle="1" w:styleId="17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5">
    <w:name w:val="列出段落21"/>
    <w:basedOn w:val="1"/>
    <w:qFormat/>
    <w:uiPriority w:val="0"/>
    <w:pPr>
      <w:ind w:firstLine="420" w:firstLineChars="200"/>
    </w:pPr>
    <w:rPr>
      <w:rFonts w:ascii="Calibri" w:hAnsi="Calibri"/>
      <w:szCs w:val="22"/>
    </w:rPr>
  </w:style>
  <w:style w:type="paragraph" w:customStyle="1" w:styleId="176">
    <w:name w:val="_Style 62"/>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7">
    <w:name w:val="前言、引言标题"/>
    <w:next w:val="1"/>
    <w:qFormat/>
    <w:uiPriority w:val="0"/>
    <w:pPr>
      <w:shd w:val="clear" w:color="FFFFFF" w:fill="FFFFFF"/>
      <w:spacing w:before="640" w:after="560"/>
      <w:ind w:left="360" w:hanging="360"/>
      <w:jc w:val="center"/>
      <w:outlineLvl w:val="0"/>
    </w:pPr>
    <w:rPr>
      <w:rFonts w:ascii="黑体" w:hAnsi="Times New Roman" w:eastAsia="黑体" w:cs="Times New Roman"/>
      <w:sz w:val="32"/>
      <w:lang w:val="en-US" w:eastAsia="zh-CN" w:bidi="ar-SA"/>
    </w:rPr>
  </w:style>
  <w:style w:type="paragraph" w:customStyle="1" w:styleId="17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7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0">
    <w:name w:val="Char2"/>
    <w:basedOn w:val="1"/>
    <w:qFormat/>
    <w:uiPriority w:val="0"/>
  </w:style>
  <w:style w:type="paragraph" w:customStyle="1" w:styleId="181">
    <w:name w:val="Char12"/>
    <w:basedOn w:val="16"/>
    <w:qFormat/>
    <w:uiPriority w:val="0"/>
    <w:pPr>
      <w:widowControl/>
      <w:ind w:firstLine="454"/>
      <w:jc w:val="left"/>
    </w:pPr>
    <w:rPr>
      <w:rFonts w:ascii="Tahoma" w:hAnsi="Tahoma" w:cs="宋体"/>
      <w:kern w:val="0"/>
      <w:sz w:val="24"/>
      <w:szCs w:val="20"/>
    </w:rPr>
  </w:style>
  <w:style w:type="paragraph" w:customStyle="1" w:styleId="182">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83">
    <w:name w:val="Char3"/>
    <w:basedOn w:val="1"/>
    <w:qFormat/>
    <w:uiPriority w:val="0"/>
  </w:style>
  <w:style w:type="paragraph" w:styleId="184">
    <w:name w:val="No Spacing"/>
    <w:qFormat/>
    <w:uiPriority w:val="1"/>
    <w:pPr>
      <w:widowControl w:val="0"/>
      <w:jc w:val="both"/>
    </w:pPr>
    <w:rPr>
      <w:rFonts w:ascii="Calibri" w:hAnsi="Calibri" w:eastAsia="宋体" w:cs="Times New Roman"/>
      <w:kern w:val="2"/>
      <w:sz w:val="21"/>
      <w:szCs w:val="24"/>
      <w:lang w:val="en-US" w:eastAsia="zh-CN" w:bidi="ar-SA"/>
    </w:rPr>
  </w:style>
  <w:style w:type="paragraph" w:customStyle="1" w:styleId="185">
    <w:name w:val="样式 标题 3 + (中文) 黑体 小四 非加粗 段前: 7.8 磅 段后: 0 磅 行距: 固定值 20 磅"/>
    <w:basedOn w:val="6"/>
    <w:autoRedefine/>
    <w:qFormat/>
    <w:uiPriority w:val="0"/>
    <w:pPr>
      <w:spacing w:before="0" w:after="0" w:line="400" w:lineRule="exact"/>
    </w:pPr>
    <w:rPr>
      <w:rFonts w:eastAsia="黑体" w:cs="宋体"/>
      <w:b w:val="0"/>
      <w:bCs w:val="0"/>
      <w:sz w:val="24"/>
      <w:szCs w:val="20"/>
    </w:rPr>
  </w:style>
  <w:style w:type="paragraph" w:customStyle="1" w:styleId="186">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87">
    <w:name w:val="p0"/>
    <w:basedOn w:val="1"/>
    <w:qFormat/>
    <w:uiPriority w:val="0"/>
    <w:pPr>
      <w:widowControl/>
    </w:pPr>
    <w:rPr>
      <w:kern w:val="0"/>
      <w:szCs w:val="21"/>
    </w:rPr>
  </w:style>
  <w:style w:type="paragraph" w:customStyle="1" w:styleId="188">
    <w:name w:val="正文段"/>
    <w:basedOn w:val="1"/>
    <w:qFormat/>
    <w:uiPriority w:val="0"/>
    <w:pPr>
      <w:widowControl/>
      <w:snapToGrid w:val="0"/>
      <w:spacing w:afterLines="50"/>
      <w:ind w:firstLine="200" w:firstLineChars="200"/>
    </w:pPr>
    <w:rPr>
      <w:kern w:val="0"/>
      <w:sz w:val="24"/>
      <w:szCs w:val="20"/>
    </w:rPr>
  </w:style>
  <w:style w:type="paragraph" w:customStyle="1" w:styleId="189">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0">
    <w:name w:val="xl7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1">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2">
    <w:name w:val="xl66"/>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193">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94">
    <w:name w:val="Char Char Char Char Char Char Char"/>
    <w:basedOn w:val="1"/>
    <w:qFormat/>
    <w:uiPriority w:val="0"/>
    <w:pPr>
      <w:tabs>
        <w:tab w:val="left" w:pos="432"/>
      </w:tabs>
      <w:ind w:left="432" w:hanging="432"/>
    </w:pPr>
    <w:rPr>
      <w:rFonts w:ascii="Tahoma" w:hAnsi="Tahoma"/>
      <w:sz w:val="24"/>
      <w:szCs w:val="20"/>
    </w:rPr>
  </w:style>
  <w:style w:type="paragraph" w:customStyle="1" w:styleId="19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一级条标题"/>
    <w:next w:val="158"/>
    <w:qFormat/>
    <w:uiPriority w:val="0"/>
    <w:pPr>
      <w:ind w:left="284"/>
      <w:outlineLvl w:val="2"/>
    </w:pPr>
    <w:rPr>
      <w:rFonts w:ascii="Times New Roman" w:hAnsi="Times New Roman" w:eastAsia="黑体" w:cs="Times New Roman"/>
      <w:sz w:val="21"/>
      <w:lang w:val="en-US" w:eastAsia="zh-CN" w:bidi="ar-SA"/>
    </w:rPr>
  </w:style>
  <w:style w:type="paragraph" w:customStyle="1" w:styleId="197">
    <w:name w:val="xl67"/>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198">
    <w:name w:val="Char Char Char Char2"/>
    <w:basedOn w:val="1"/>
    <w:qFormat/>
    <w:uiPriority w:val="0"/>
  </w:style>
  <w:style w:type="paragraph" w:customStyle="1" w:styleId="199">
    <w:name w:val="正文首行缩进两字符"/>
    <w:basedOn w:val="1"/>
    <w:qFormat/>
    <w:uiPriority w:val="0"/>
    <w:pPr>
      <w:spacing w:line="360" w:lineRule="auto"/>
      <w:ind w:firstLine="200" w:firstLineChars="200"/>
    </w:pPr>
  </w:style>
  <w:style w:type="paragraph" w:customStyle="1" w:styleId="200">
    <w:name w:val="无间隔1"/>
    <w:qFormat/>
    <w:uiPriority w:val="1"/>
    <w:pPr>
      <w:widowControl w:val="0"/>
      <w:jc w:val="both"/>
    </w:pPr>
    <w:rPr>
      <w:rFonts w:ascii="Calibri" w:hAnsi="Calibri" w:eastAsia="宋体" w:cs="Times New Roman"/>
      <w:kern w:val="2"/>
      <w:sz w:val="21"/>
      <w:szCs w:val="24"/>
      <w:lang w:val="en-US" w:eastAsia="zh-CN" w:bidi="ar-SA"/>
    </w:rPr>
  </w:style>
  <w:style w:type="paragraph" w:customStyle="1" w:styleId="201">
    <w:name w:val="Char Char Char Char Char Char Char1"/>
    <w:basedOn w:val="1"/>
    <w:qFormat/>
    <w:uiPriority w:val="0"/>
  </w:style>
  <w:style w:type="paragraph" w:customStyle="1" w:styleId="202">
    <w:name w:val="Char Char Char Char1"/>
    <w:basedOn w:val="1"/>
    <w:qFormat/>
    <w:uiPriority w:val="0"/>
  </w:style>
  <w:style w:type="paragraph" w:customStyle="1" w:styleId="203">
    <w:name w:val="xl11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Times" w:hAnsi="Times"/>
      <w:kern w:val="0"/>
      <w:sz w:val="20"/>
      <w:szCs w:val="20"/>
    </w:rPr>
  </w:style>
  <w:style w:type="paragraph" w:customStyle="1" w:styleId="204">
    <w:name w:val="Char Char Char1"/>
    <w:basedOn w:val="1"/>
    <w:qFormat/>
    <w:uiPriority w:val="0"/>
    <w:rPr>
      <w:rFonts w:ascii="Tahoma" w:hAnsi="Tahoma"/>
      <w:sz w:val="24"/>
      <w:szCs w:val="20"/>
    </w:rPr>
  </w:style>
  <w:style w:type="paragraph" w:customStyle="1" w:styleId="205">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06">
    <w:name w:val="样式3"/>
    <w:basedOn w:val="80"/>
    <w:qFormat/>
    <w:uiPriority w:val="0"/>
    <w:pPr>
      <w:spacing w:line="360" w:lineRule="auto"/>
      <w:ind w:left="900" w:firstLine="0" w:firstLineChars="0"/>
      <w:jc w:val="center"/>
    </w:pPr>
    <w:rPr>
      <w:rFonts w:ascii="宋体" w:hAnsi="宋体"/>
      <w:sz w:val="24"/>
      <w:szCs w:val="28"/>
      <w:lang w:val="zh-CN"/>
    </w:rPr>
  </w:style>
  <w:style w:type="paragraph" w:customStyle="1" w:styleId="207">
    <w:name w:val="Table Paragraph"/>
    <w:basedOn w:val="1"/>
    <w:qFormat/>
    <w:uiPriority w:val="1"/>
    <w:pPr>
      <w:ind w:left="100" w:right="-10"/>
      <w:jc w:val="left"/>
    </w:pPr>
    <w:rPr>
      <w:rFonts w:ascii="宋体" w:hAnsi="宋体" w:cs="宋体"/>
      <w:kern w:val="0"/>
      <w:sz w:val="22"/>
      <w:szCs w:val="22"/>
      <w:lang w:eastAsia="en-US"/>
    </w:rPr>
  </w:style>
  <w:style w:type="paragraph" w:customStyle="1" w:styleId="208">
    <w:name w:val="正文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character" w:customStyle="1" w:styleId="210">
    <w:name w:val="正文首行缩进 2 Char"/>
    <w:basedOn w:val="55"/>
    <w:link w:val="40"/>
    <w:qFormat/>
    <w:uiPriority w:val="0"/>
    <w:rPr>
      <w:rFonts w:ascii="Times New Roman" w:hAnsi="Times New Roman" w:eastAsia="仿宋_GB2312" w:cs="Times New Roman"/>
      <w:kern w:val="2"/>
      <w:sz w:val="21"/>
      <w:szCs w:val="24"/>
    </w:rPr>
  </w:style>
  <w:style w:type="paragraph" w:customStyle="1" w:styleId="211">
    <w:name w:val="引言二级条标题"/>
    <w:basedOn w:val="212"/>
    <w:next w:val="158"/>
    <w:qFormat/>
    <w:uiPriority w:val="0"/>
    <w:pPr>
      <w:ind w:left="0" w:firstLine="0"/>
    </w:pPr>
    <w:rPr>
      <w:rFonts w:eastAsia="宋体"/>
    </w:rPr>
  </w:style>
  <w:style w:type="paragraph" w:customStyle="1" w:styleId="212">
    <w:name w:val="引言一级条标题"/>
    <w:basedOn w:val="1"/>
    <w:next w:val="158"/>
    <w:qFormat/>
    <w:uiPriority w:val="0"/>
    <w:pPr>
      <w:widowControl/>
      <w:spacing w:before="100" w:beforeAutospacing="1" w:after="100" w:afterAutospacing="1"/>
      <w:ind w:left="900" w:hanging="900"/>
    </w:pPr>
    <w:rPr>
      <w:rFonts w:eastAsia="黑体"/>
      <w:b/>
      <w:bCs/>
    </w:rPr>
  </w:style>
  <w:style w:type="paragraph" w:customStyle="1" w:styleId="213">
    <w:name w:val="表格文字"/>
    <w:basedOn w:val="1"/>
    <w:qFormat/>
    <w:uiPriority w:val="99"/>
    <w:pPr>
      <w:spacing w:before="25" w:after="25"/>
      <w:jc w:val="left"/>
    </w:pPr>
    <w:rPr>
      <w:bCs/>
      <w:spacing w:val="10"/>
      <w:kern w:val="0"/>
      <w:sz w:val="24"/>
    </w:rPr>
  </w:style>
  <w:style w:type="character" w:customStyle="1" w:styleId="214">
    <w:name w:val="font61"/>
    <w:basedOn w:val="43"/>
    <w:qFormat/>
    <w:uiPriority w:val="0"/>
    <w:rPr>
      <w:rFonts w:ascii="Arial" w:hAnsi="Arial" w:cs="Arial"/>
      <w:color w:val="000000"/>
      <w:sz w:val="20"/>
      <w:szCs w:val="20"/>
      <w:u w:val="none"/>
    </w:rPr>
  </w:style>
  <w:style w:type="paragraph" w:customStyle="1" w:styleId="215">
    <w:name w:val="Table Text"/>
    <w:basedOn w:val="1"/>
    <w:semiHidden/>
    <w:qFormat/>
    <w:uiPriority w:val="0"/>
    <w:rPr>
      <w:rFonts w:ascii="宋体" w:hAnsi="宋体" w:cs="宋体"/>
      <w:sz w:val="20"/>
      <w:szCs w:val="20"/>
      <w:lang w:eastAsia="en-US"/>
    </w:rPr>
  </w:style>
  <w:style w:type="table" w:customStyle="1" w:styleId="2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127</Pages>
  <Words>30972</Words>
  <Characters>32473</Characters>
  <Lines>645</Lines>
  <Paragraphs>181</Paragraphs>
  <TotalTime>15</TotalTime>
  <ScaleCrop>false</ScaleCrop>
  <LinksUpToDate>false</LinksUpToDate>
  <CharactersWithSpaces>32812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2025-04-17T09:59:00Z</dcterms:created>
  <dc:creator>广西智瀚</dc:creator>
  <cp:lastModifiedBy>张冬</cp:lastModifiedBy>
  <cp:lastPrinted>2018-11-30T07:27:00Z</cp:lastPrinted>
  <dcterms:modified xsi:type="dcterms:W3CDTF">2026-02-09T01:36:06Z</dcterms:modified>
  <dc:title>竞争性磋商文件规范</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BD2D2514CCE545EBB7ACAA9312278B93_13</vt:lpwstr>
  </property>
  <property fmtid="{D5CDD505-2E9C-101B-9397-08002B2CF9AE}" pid="4" name="KSOTemplateDocerSaveRecord">
    <vt:lpwstr>eyJoZGlkIjoiNzU3YTg2MjlhNTgzYjFkNTMyODU0ZDVlYTQ2NWU4MDciLCJ1c2VySWQiOiI1NDY0ODI0ODkifQ==</vt:lpwstr>
  </property>
</Properties>
</file>